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3FF" w14:textId="092EA4B9" w:rsidR="004C70B4" w:rsidRDefault="004C70B4" w:rsidP="00C33756">
      <w:pPr>
        <w:jc w:val="both"/>
      </w:pPr>
      <w:r>
        <w:t>W wyniku dalszej pracy polegającej na testowaniu rozwiązania Mapa Potencjału Badawczego nastąpił zwrot do etapu prototypowania</w:t>
      </w:r>
      <w:r w:rsidR="00C02FAD">
        <w:t xml:space="preserve"> w procesie Design </w:t>
      </w:r>
      <w:proofErr w:type="spellStart"/>
      <w:r w:rsidR="00C02FAD">
        <w:t>Thinking</w:t>
      </w:r>
      <w:proofErr w:type="spellEnd"/>
      <w:r w:rsidR="00C02FAD">
        <w:t xml:space="preserve"> w </w:t>
      </w:r>
      <w:r w:rsidR="5F567A57">
        <w:t>wyniku,</w:t>
      </w:r>
      <w:r w:rsidR="00C02FAD">
        <w:t xml:space="preserve"> którego zespół zaproponował metodykę ilościowej oceny jakości projektów B+R/rozwiązań.</w:t>
      </w:r>
    </w:p>
    <w:p w14:paraId="7ABFB6E4" w14:textId="35F82531" w:rsidR="004C70B4" w:rsidRDefault="004C70B4" w:rsidP="00C33756">
      <w:pPr>
        <w:jc w:val="both"/>
      </w:pPr>
      <w:r>
        <w:t>Zaproponowana metodyka</w:t>
      </w:r>
      <w:r w:rsidR="083C8C2F">
        <w:t>,</w:t>
      </w:r>
      <w:r>
        <w:t xml:space="preserve"> wywodząca się z techniki inżynierskiej ilościowej analizy jakości</w:t>
      </w:r>
      <w:r w:rsidR="2BFDA1A4">
        <w:t>,</w:t>
      </w:r>
      <w:r>
        <w:t xml:space="preserve"> została zaadaptowana do oceny wyników prac badawczo-rozwojowych.</w:t>
      </w:r>
    </w:p>
    <w:p w14:paraId="62B8F24B" w14:textId="7DFD1209" w:rsidR="004C70B4" w:rsidRPr="00C33756" w:rsidRDefault="004C70B4">
      <w:pPr>
        <w:rPr>
          <w:b/>
          <w:bCs/>
          <w:u w:val="single"/>
        </w:rPr>
      </w:pPr>
      <w:r w:rsidRPr="00C33756">
        <w:rPr>
          <w:b/>
          <w:bCs/>
          <w:u w:val="single"/>
        </w:rPr>
        <w:t>Co zrobiono?</w:t>
      </w:r>
    </w:p>
    <w:p w14:paraId="569DD973" w14:textId="4F4FBEA6" w:rsidR="004C70B4" w:rsidRPr="004C70B4" w:rsidRDefault="004C70B4" w:rsidP="004C70B4">
      <w:r>
        <w:t>Przeanalizowano metodykę</w:t>
      </w:r>
      <w:r w:rsidRPr="004C70B4">
        <w:t xml:space="preserve"> op</w:t>
      </w:r>
      <w:r>
        <w:t xml:space="preserve">ierającą </w:t>
      </w:r>
      <w:r w:rsidRPr="004C70B4">
        <w:t xml:space="preserve">się na systematycznej ocenie kilku parametrów ilościowych, które są przeliczane na </w:t>
      </w:r>
      <w:r w:rsidRPr="004C70B4">
        <w:rPr>
          <w:b/>
          <w:bCs/>
        </w:rPr>
        <w:t>względne współczynniki jakości</w:t>
      </w:r>
      <w:r>
        <w:t>.</w:t>
      </w:r>
    </w:p>
    <w:p w14:paraId="289328FC" w14:textId="1463CEFA" w:rsidR="004C70B4" w:rsidRPr="004C70B4" w:rsidRDefault="004C70B4" w:rsidP="004C70B4">
      <w:pPr>
        <w:pStyle w:val="Akapitzlist"/>
        <w:numPr>
          <w:ilvl w:val="0"/>
          <w:numId w:val="7"/>
        </w:numPr>
        <w:rPr>
          <w:b/>
          <w:bCs/>
        </w:rPr>
      </w:pPr>
      <w:r w:rsidRPr="004C70B4">
        <w:rPr>
          <w:b/>
          <w:bCs/>
        </w:rPr>
        <w:t>Pod uwagę wzięto kryteria wypracowane podczas warsztatu 1.07.2025r. w Gdyni. Wybrano podczas spotkania zespołu w dniu 7.08.2025 (online) te kryteria, które zostaną przetestowane:</w:t>
      </w:r>
    </w:p>
    <w:p w14:paraId="57618211" w14:textId="5FE9B90A" w:rsidR="004C70B4" w:rsidRDefault="004C70B4" w:rsidP="004C70B4">
      <w:pPr>
        <w:pStyle w:val="Akapitzlist"/>
        <w:numPr>
          <w:ilvl w:val="0"/>
          <w:numId w:val="8"/>
        </w:numPr>
      </w:pPr>
      <w:r w:rsidRPr="004C70B4">
        <w:t xml:space="preserve">TRL </w:t>
      </w:r>
    </w:p>
    <w:p w14:paraId="168D343F" w14:textId="62065DD6" w:rsidR="004C70B4" w:rsidRDefault="005D38E1" w:rsidP="004C70B4">
      <w:pPr>
        <w:pStyle w:val="Akapitzlist"/>
        <w:numPr>
          <w:ilvl w:val="0"/>
          <w:numId w:val="8"/>
        </w:numPr>
      </w:pPr>
      <w:r>
        <w:t>Budżet</w:t>
      </w:r>
      <w:r w:rsidR="004C70B4" w:rsidRPr="004C70B4">
        <w:t xml:space="preserve"> [zł]</w:t>
      </w:r>
    </w:p>
    <w:p w14:paraId="35DC6AF2" w14:textId="5C0022FA" w:rsidR="004C70B4" w:rsidRDefault="005D38E1" w:rsidP="004C70B4">
      <w:pPr>
        <w:pStyle w:val="Akapitzlist"/>
        <w:numPr>
          <w:ilvl w:val="0"/>
          <w:numId w:val="8"/>
        </w:numPr>
      </w:pPr>
      <w:r>
        <w:t xml:space="preserve">BRL (Business </w:t>
      </w:r>
      <w:proofErr w:type="spellStart"/>
      <w:r>
        <w:t>Readness</w:t>
      </w:r>
      <w:proofErr w:type="spellEnd"/>
      <w:r>
        <w:t xml:space="preserve"> Level)</w:t>
      </w:r>
    </w:p>
    <w:p w14:paraId="3629C797" w14:textId="6ACB91D4" w:rsidR="004C70B4" w:rsidRDefault="004C70B4" w:rsidP="004C70B4">
      <w:pPr>
        <w:pStyle w:val="Akapitzlist"/>
        <w:numPr>
          <w:ilvl w:val="0"/>
          <w:numId w:val="8"/>
        </w:numPr>
      </w:pPr>
      <w:r w:rsidRPr="004C70B4">
        <w:t xml:space="preserve">Liczba </w:t>
      </w:r>
      <w:r w:rsidR="005D38E1">
        <w:t xml:space="preserve">odbiorców rozwiązania/ technologii, </w:t>
      </w:r>
      <w:r w:rsidRPr="004C70B4">
        <w:t>przedsiębiorców</w:t>
      </w:r>
    </w:p>
    <w:p w14:paraId="4BD32E97" w14:textId="77777777" w:rsidR="004C70B4" w:rsidRDefault="004C70B4" w:rsidP="004C70B4">
      <w:pPr>
        <w:pStyle w:val="Akapitzlist"/>
        <w:numPr>
          <w:ilvl w:val="0"/>
          <w:numId w:val="8"/>
        </w:numPr>
      </w:pPr>
      <w:r w:rsidRPr="004C70B4">
        <w:t>Interdyscyplinarność (0/1)</w:t>
      </w:r>
    </w:p>
    <w:p w14:paraId="401017F1" w14:textId="02CADEBF" w:rsidR="004C70B4" w:rsidRDefault="005D38E1" w:rsidP="004C70B4">
      <w:pPr>
        <w:pStyle w:val="Akapitzlist"/>
        <w:numPr>
          <w:ilvl w:val="0"/>
          <w:numId w:val="8"/>
        </w:numPr>
      </w:pPr>
      <w:r>
        <w:t xml:space="preserve">List intencyjny/gotowość do założenia spółki </w:t>
      </w:r>
      <w:proofErr w:type="spellStart"/>
      <w:r>
        <w:t>spin</w:t>
      </w:r>
      <w:proofErr w:type="spellEnd"/>
      <w:r>
        <w:t xml:space="preserve"> off</w:t>
      </w:r>
    </w:p>
    <w:p w14:paraId="71A9503B" w14:textId="53119405" w:rsidR="004C70B4" w:rsidRDefault="005D38E1" w:rsidP="004C70B4">
      <w:pPr>
        <w:pStyle w:val="Akapitzlist"/>
        <w:numPr>
          <w:ilvl w:val="0"/>
          <w:numId w:val="8"/>
        </w:numPr>
      </w:pPr>
      <w:r>
        <w:t>Doświadczenie w realizacji usług badawczych</w:t>
      </w:r>
    </w:p>
    <w:p w14:paraId="130605E5" w14:textId="2E9AD2B5" w:rsidR="005D38E1" w:rsidRDefault="005D38E1" w:rsidP="004C70B4">
      <w:pPr>
        <w:pStyle w:val="Akapitzlist"/>
        <w:numPr>
          <w:ilvl w:val="0"/>
          <w:numId w:val="8"/>
        </w:numPr>
      </w:pPr>
      <w:r>
        <w:t>Doświadczenie w realizacji projektów B+R</w:t>
      </w:r>
    </w:p>
    <w:p w14:paraId="762AACA5" w14:textId="43FFB2A8" w:rsidR="005D38E1" w:rsidRDefault="005D38E1" w:rsidP="004C70B4">
      <w:pPr>
        <w:pStyle w:val="Akapitzlist"/>
        <w:numPr>
          <w:ilvl w:val="0"/>
          <w:numId w:val="8"/>
        </w:numPr>
      </w:pPr>
      <w:r>
        <w:t>Doświadczenie w komercjalizacji</w:t>
      </w:r>
    </w:p>
    <w:p w14:paraId="763B9FC1" w14:textId="6EE323C8" w:rsidR="004C70B4" w:rsidRDefault="004C70B4" w:rsidP="004C70B4">
      <w:pPr>
        <w:pStyle w:val="Akapitzlist"/>
        <w:numPr>
          <w:ilvl w:val="0"/>
          <w:numId w:val="8"/>
        </w:numPr>
      </w:pPr>
      <w:r w:rsidRPr="004C70B4">
        <w:t xml:space="preserve">Alternatywy </w:t>
      </w:r>
    </w:p>
    <w:p w14:paraId="37FF870E" w14:textId="520A4418" w:rsidR="004C70B4" w:rsidRDefault="005D38E1" w:rsidP="004C70B4">
      <w:pPr>
        <w:pStyle w:val="Akapitzlist"/>
        <w:numPr>
          <w:ilvl w:val="0"/>
          <w:numId w:val="8"/>
        </w:numPr>
      </w:pPr>
      <w:r>
        <w:t>Promocja</w:t>
      </w:r>
      <w:r w:rsidR="004C70B4" w:rsidRPr="004C70B4">
        <w:t xml:space="preserve"> </w:t>
      </w:r>
    </w:p>
    <w:p w14:paraId="7A1E05F0" w14:textId="19EEEFC6" w:rsidR="005D38E1" w:rsidRDefault="005D38E1" w:rsidP="004C70B4">
      <w:pPr>
        <w:pStyle w:val="Akapitzlist"/>
        <w:numPr>
          <w:ilvl w:val="0"/>
          <w:numId w:val="8"/>
        </w:numPr>
      </w:pPr>
      <w:r>
        <w:t>KIS</w:t>
      </w:r>
    </w:p>
    <w:p w14:paraId="5BDD80F4" w14:textId="3F2D906C" w:rsidR="005D38E1" w:rsidRPr="004C70B4" w:rsidRDefault="005D38E1" w:rsidP="004C70B4">
      <w:pPr>
        <w:pStyle w:val="Akapitzlist"/>
        <w:numPr>
          <w:ilvl w:val="0"/>
          <w:numId w:val="8"/>
        </w:numPr>
      </w:pPr>
      <w:r>
        <w:t>Zrównoważony rozwój i zasada 6R</w:t>
      </w:r>
    </w:p>
    <w:p w14:paraId="60ECEB0B" w14:textId="77777777" w:rsidR="004C70B4" w:rsidRPr="004C70B4" w:rsidRDefault="00000000" w:rsidP="004C70B4">
      <w:r>
        <w:pict w14:anchorId="2502BBED">
          <v:rect id="_x0000_i1025" style="width:0;height:1.5pt" o:hralign="center" o:hrstd="t" o:hr="t" fillcolor="#a0a0a0" stroked="f"/>
        </w:pict>
      </w:r>
    </w:p>
    <w:p w14:paraId="6EE2A882" w14:textId="0B67E110" w:rsidR="004C70B4" w:rsidRPr="004C70B4" w:rsidRDefault="004C70B4" w:rsidP="004C70B4">
      <w:r w:rsidRPr="004C70B4">
        <w:rPr>
          <w:b/>
          <w:bCs/>
        </w:rPr>
        <w:t xml:space="preserve">2. </w:t>
      </w:r>
      <w:r>
        <w:rPr>
          <w:b/>
          <w:bCs/>
        </w:rPr>
        <w:t>Ustalono wartości referencyjne dla każdego parametru</w:t>
      </w:r>
      <w:r w:rsidR="00D41B6A">
        <w:rPr>
          <w:b/>
          <w:bCs/>
        </w:rPr>
        <w:t>, które będą służyły do porównania wyników:</w:t>
      </w:r>
    </w:p>
    <w:p w14:paraId="08676636" w14:textId="77777777" w:rsidR="004C70B4" w:rsidRPr="004C70B4" w:rsidRDefault="004C70B4" w:rsidP="004C70B4">
      <w:pPr>
        <w:numPr>
          <w:ilvl w:val="0"/>
          <w:numId w:val="4"/>
        </w:numPr>
      </w:pPr>
      <w:r w:rsidRPr="004C70B4">
        <w:rPr>
          <w:b/>
          <w:bCs/>
        </w:rPr>
        <w:t>wartość minimalną (kmin)</w:t>
      </w:r>
      <w:r w:rsidRPr="004C70B4">
        <w:t xml:space="preserve"> – najgorszy dopuszczalny wynik,</w:t>
      </w:r>
    </w:p>
    <w:p w14:paraId="01C8D726" w14:textId="77777777" w:rsidR="004C70B4" w:rsidRPr="004C70B4" w:rsidRDefault="004C70B4" w:rsidP="004C70B4">
      <w:pPr>
        <w:numPr>
          <w:ilvl w:val="0"/>
          <w:numId w:val="4"/>
        </w:numPr>
      </w:pPr>
      <w:r w:rsidRPr="004C70B4">
        <w:rPr>
          <w:b/>
          <w:bCs/>
        </w:rPr>
        <w:t>wartość maksymalną (</w:t>
      </w:r>
      <w:proofErr w:type="spellStart"/>
      <w:r w:rsidRPr="004C70B4">
        <w:rPr>
          <w:b/>
          <w:bCs/>
        </w:rPr>
        <w:t>kmax</w:t>
      </w:r>
      <w:proofErr w:type="spellEnd"/>
      <w:r w:rsidRPr="004C70B4">
        <w:rPr>
          <w:b/>
          <w:bCs/>
        </w:rPr>
        <w:t>)</w:t>
      </w:r>
      <w:r w:rsidRPr="004C70B4">
        <w:t xml:space="preserve"> – najlepszy możliwy,</w:t>
      </w:r>
    </w:p>
    <w:p w14:paraId="10F282C2" w14:textId="0AED9FEE" w:rsidR="004C70B4" w:rsidRPr="004C70B4" w:rsidRDefault="004C70B4" w:rsidP="004C70B4">
      <w:pPr>
        <w:numPr>
          <w:ilvl w:val="0"/>
          <w:numId w:val="4"/>
        </w:numPr>
      </w:pPr>
      <w:r w:rsidRPr="004C70B4">
        <w:rPr>
          <w:b/>
          <w:bCs/>
        </w:rPr>
        <w:t>wartość optymalną (</w:t>
      </w:r>
      <w:proofErr w:type="spellStart"/>
      <w:r w:rsidRPr="004C70B4">
        <w:rPr>
          <w:b/>
          <w:bCs/>
        </w:rPr>
        <w:t>kopt</w:t>
      </w:r>
      <w:proofErr w:type="spellEnd"/>
      <w:r w:rsidRPr="004C70B4">
        <w:rPr>
          <w:b/>
          <w:bCs/>
        </w:rPr>
        <w:t>)</w:t>
      </w:r>
      <w:r w:rsidRPr="004C70B4">
        <w:t xml:space="preserve"> – najlepsza z punktu widzenia </w:t>
      </w:r>
      <w:r w:rsidR="00D41B6A">
        <w:t>potencjału wdrożeniowego, ekonomii, założeń projektu (budżet, wskaźniki do osiągnięcia)</w:t>
      </w:r>
      <w:r w:rsidRPr="004C70B4">
        <w:t>.</w:t>
      </w:r>
    </w:p>
    <w:p w14:paraId="39A5E303" w14:textId="5CE4E8D8" w:rsidR="0027534E" w:rsidRPr="00C33756" w:rsidRDefault="004C70B4" w:rsidP="0027534E">
      <w:r>
        <w:t xml:space="preserve">Wartości te </w:t>
      </w:r>
      <w:r w:rsidR="00D41B6A">
        <w:t>pochodzą z literatury (skal</w:t>
      </w:r>
      <w:r w:rsidR="005D38E1">
        <w:t>e</w:t>
      </w:r>
      <w:r w:rsidR="00D41B6A">
        <w:t xml:space="preserve"> TRL</w:t>
      </w:r>
      <w:r w:rsidR="005D38E1">
        <w:t>, BRL</w:t>
      </w:r>
      <w:r w:rsidR="00D41B6A">
        <w:t xml:space="preserve">), założeń projektu (określony budżet, w ramach którego należy osiągnąć wskaźniki – liczby projektów B+R, liczby zgłoszeń </w:t>
      </w:r>
      <w:r w:rsidR="00D41B6A">
        <w:lastRenderedPageBreak/>
        <w:t xml:space="preserve">patentowych, komercjalizacji), </w:t>
      </w:r>
      <w:r w:rsidR="00C925FF">
        <w:t xml:space="preserve">wynikają z decyzji eksperckich, danych historycznych, </w:t>
      </w:r>
      <w:r w:rsidR="00D41B6A">
        <w:t>doświadczenia brokerów (tam, gdzie unifikowanie danych zależy od danej branży kryteria nie mogą być wzięte pod uwagę). Należało dobrać takie kryteria, które będą „</w:t>
      </w:r>
      <w:proofErr w:type="spellStart"/>
      <w:r w:rsidR="00D41B6A">
        <w:t>ocenialne</w:t>
      </w:r>
      <w:proofErr w:type="spellEnd"/>
      <w:r w:rsidR="00D41B6A">
        <w:t>” dla wszystkich projektów (od nauk humanistycznych po inżynierię materiałową i ogrodnictwo).</w:t>
      </w:r>
    </w:p>
    <w:p w14:paraId="20B90D46" w14:textId="77777777" w:rsidR="0027534E" w:rsidRPr="0027534E" w:rsidRDefault="00000000" w:rsidP="0027534E">
      <w:pPr>
        <w:rPr>
          <w:b/>
          <w:bCs/>
        </w:rPr>
      </w:pPr>
      <w:r>
        <w:rPr>
          <w:b/>
          <w:bCs/>
        </w:rPr>
        <w:pict w14:anchorId="3072910A">
          <v:rect id="_x0000_i1026" style="width:0;height:1.5pt" o:hralign="center" o:hrstd="t" o:hr="t" fillcolor="#a0a0a0" stroked="f"/>
        </w:pict>
      </w:r>
    </w:p>
    <w:p w14:paraId="1EDABED5" w14:textId="715CEB71" w:rsidR="0027534E" w:rsidRDefault="00C33756" w:rsidP="0027534E">
      <w:r>
        <w:rPr>
          <w:b/>
          <w:bCs/>
        </w:rPr>
        <w:t>3</w:t>
      </w:r>
      <w:r w:rsidR="0027534E" w:rsidRPr="004C70B4">
        <w:rPr>
          <w:b/>
          <w:bCs/>
        </w:rPr>
        <w:t xml:space="preserve">. </w:t>
      </w:r>
      <w:r w:rsidR="0027534E">
        <w:rPr>
          <w:b/>
          <w:bCs/>
        </w:rPr>
        <w:t>Ustawiono s</w:t>
      </w:r>
      <w:r w:rsidR="0027534E" w:rsidRPr="00D41B6A">
        <w:rPr>
          <w:b/>
          <w:bCs/>
        </w:rPr>
        <w:t>kalowanie</w:t>
      </w:r>
      <w:r w:rsidR="0027534E">
        <w:rPr>
          <w:b/>
          <w:bCs/>
        </w:rPr>
        <w:t xml:space="preserve"> (0-1), </w:t>
      </w:r>
      <w:r>
        <w:rPr>
          <w:b/>
          <w:bCs/>
        </w:rPr>
        <w:t xml:space="preserve">co oznacza, że </w:t>
      </w:r>
      <w:r w:rsidR="0027534E">
        <w:rPr>
          <w:b/>
          <w:bCs/>
        </w:rPr>
        <w:t xml:space="preserve">każdy parametr jest przeliczany na </w:t>
      </w:r>
      <w:r w:rsidR="0027534E" w:rsidRPr="004C70B4">
        <w:rPr>
          <w:b/>
          <w:bCs/>
        </w:rPr>
        <w:t>tzw. wskaźnik kryterialny (xi)</w:t>
      </w:r>
      <w:r w:rsidR="0027534E">
        <w:rPr>
          <w:b/>
          <w:bCs/>
        </w:rPr>
        <w:t xml:space="preserve">. </w:t>
      </w:r>
      <w:r w:rsidR="0027534E" w:rsidRPr="0027534E">
        <w:t>K</w:t>
      </w:r>
      <w:r w:rsidR="0027534E" w:rsidRPr="004C70B4">
        <w:t xml:space="preserve">ażdy surowy wynik </w:t>
      </w:r>
      <w:r w:rsidR="0027534E">
        <w:t xml:space="preserve">będzie przeliczany </w:t>
      </w:r>
      <w:r w:rsidR="0027534E" w:rsidRPr="004C70B4">
        <w:t>na wartość</w:t>
      </w:r>
      <w:r w:rsidR="00B25CC3">
        <w:t xml:space="preserve"> bezwzględną </w:t>
      </w:r>
      <w:r w:rsidR="0027534E" w:rsidRPr="004C70B4">
        <w:t xml:space="preserve"> z przedziału </w:t>
      </w:r>
      <w:r w:rsidR="0027534E" w:rsidRPr="004C70B4">
        <w:rPr>
          <w:b/>
          <w:bCs/>
        </w:rPr>
        <w:t>od 0 (źle) do 1 (idealnie)</w:t>
      </w:r>
      <w:r w:rsidR="0027534E" w:rsidRPr="004C70B4">
        <w:t>, zależnie od tego, jak blisko jest do wartości optymalnej (</w:t>
      </w:r>
      <w:proofErr w:type="spellStart"/>
      <w:r w:rsidR="0027534E" w:rsidRPr="004C70B4">
        <w:t>kopt</w:t>
      </w:r>
      <w:proofErr w:type="spellEnd"/>
      <w:r w:rsidR="0027534E" w:rsidRPr="004C70B4">
        <w:t>).</w:t>
      </w:r>
      <w:r w:rsidR="00B25CC3">
        <w:t xml:space="preserve"> Wzory zależą od warunku, czy im wyższa wartość, tym lepiej, czy odwrotnie. Jeżeli założymy, że tym lepiej, im bliżej wartości xi do wartości optymalnej (</w:t>
      </w:r>
      <w:proofErr w:type="spellStart"/>
      <w:r w:rsidR="00B25CC3">
        <w:t>kopt</w:t>
      </w:r>
      <w:proofErr w:type="spellEnd"/>
      <w:r w:rsidR="00B25CC3">
        <w:t>) stosuje się wzór:</w:t>
      </w:r>
    </w:p>
    <w:p w14:paraId="6E21423A" w14:textId="1E5EA135" w:rsidR="00DD718F" w:rsidRPr="00DD718F" w:rsidRDefault="00DD718F" w:rsidP="00DD718F">
      <w:pPr>
        <w:jc w:val="center"/>
        <w:rPr>
          <w:sz w:val="28"/>
          <w:szCs w:val="28"/>
        </w:rPr>
      </w:pPr>
      <w:r w:rsidRPr="00DD718F">
        <w:rPr>
          <w:sz w:val="28"/>
          <w:szCs w:val="28"/>
        </w:rPr>
        <w:t>ξ=1- |x</w:t>
      </w:r>
      <w:r>
        <w:rPr>
          <w:sz w:val="28"/>
          <w:szCs w:val="28"/>
        </w:rPr>
        <w:t>i</w:t>
      </w:r>
      <w:r w:rsidRPr="00DD718F">
        <w:rPr>
          <w:sz w:val="28"/>
          <w:szCs w:val="28"/>
        </w:rPr>
        <w:t xml:space="preserve"> -</w:t>
      </w:r>
      <w:bookmarkStart w:id="0" w:name="_Hlk205542900"/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ₒₚₜ</w:t>
      </w:r>
      <w:bookmarkEnd w:id="0"/>
      <w:r w:rsidRPr="00DD718F">
        <w:rPr>
          <w:sz w:val="28"/>
          <w:szCs w:val="28"/>
        </w:rPr>
        <w:t>|/(</w:t>
      </w:r>
      <w:bookmarkStart w:id="1" w:name="_Hlk205542914"/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ₘₐₓ</w:t>
      </w:r>
      <w:bookmarkEnd w:id="1"/>
      <w:r w:rsidRPr="00DD718F">
        <w:rPr>
          <w:sz w:val="28"/>
          <w:szCs w:val="28"/>
        </w:rPr>
        <w:t>-</w:t>
      </w:r>
      <w:bookmarkStart w:id="2" w:name="_Hlk205542928"/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</w:t>
      </w:r>
      <w:r w:rsidRPr="00DD718F">
        <w:rPr>
          <w:rFonts w:ascii="Arial" w:hAnsi="Arial" w:cs="Arial"/>
          <w:sz w:val="28"/>
          <w:szCs w:val="28"/>
        </w:rPr>
        <w:t>ᵢ</w:t>
      </w:r>
      <w:r w:rsidRPr="00DD718F">
        <w:rPr>
          <w:rFonts w:ascii="Cambria Math" w:hAnsi="Cambria Math" w:cs="Cambria Math"/>
          <w:sz w:val="28"/>
          <w:szCs w:val="28"/>
        </w:rPr>
        <w:t>ₙ</w:t>
      </w:r>
      <w:r w:rsidRPr="00DD718F">
        <w:rPr>
          <w:sz w:val="28"/>
          <w:szCs w:val="28"/>
        </w:rPr>
        <w:t>)</w:t>
      </w:r>
      <w:bookmarkEnd w:id="2"/>
    </w:p>
    <w:p w14:paraId="266199F7" w14:textId="77777777" w:rsidR="00DD718F" w:rsidRPr="00DD718F" w:rsidRDefault="00DD718F" w:rsidP="00DD718F">
      <w:pPr>
        <w:spacing w:after="0"/>
      </w:pPr>
      <w:r w:rsidRPr="00DD718F">
        <w:t>Gdzie:</w:t>
      </w:r>
    </w:p>
    <w:p w14:paraId="095C7233" w14:textId="341FB8F4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t>xi= wartość zmierzona,</w:t>
      </w:r>
    </w:p>
    <w:p w14:paraId="3A95BD5C" w14:textId="762B94DF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t>k</w:t>
      </w:r>
      <w:r w:rsidRPr="00DD718F">
        <w:rPr>
          <w:rFonts w:ascii="Cambria Math" w:hAnsi="Cambria Math" w:cs="Cambria Math"/>
        </w:rPr>
        <w:t>ₒₚₜ</w:t>
      </w:r>
      <w:r w:rsidRPr="00DD718F">
        <w:t xml:space="preserve"> = wartość optymalna,</w:t>
      </w:r>
    </w:p>
    <w:p w14:paraId="1D8E3A0E" w14:textId="7202D47B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ₘₐₓ</w:t>
      </w:r>
      <w:r w:rsidRPr="00DD718F">
        <w:t xml:space="preserve">, </w:t>
      </w:r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</w:t>
      </w:r>
      <w:r w:rsidRPr="00DD718F">
        <w:rPr>
          <w:rFonts w:ascii="Arial" w:hAnsi="Arial" w:cs="Arial"/>
          <w:sz w:val="28"/>
          <w:szCs w:val="28"/>
        </w:rPr>
        <w:t>ᵢ</w:t>
      </w:r>
      <w:r w:rsidRPr="00DD718F">
        <w:rPr>
          <w:rFonts w:ascii="Cambria Math" w:hAnsi="Cambria Math" w:cs="Cambria Math"/>
          <w:sz w:val="28"/>
          <w:szCs w:val="28"/>
        </w:rPr>
        <w:t>ₙ</w:t>
      </w:r>
      <w:r w:rsidRPr="00DD718F">
        <w:rPr>
          <w:sz w:val="28"/>
          <w:szCs w:val="28"/>
        </w:rPr>
        <w:t>)</w:t>
      </w:r>
      <w:r w:rsidRPr="00DD718F">
        <w:t>= wartości graniczne dopuszczalne.</w:t>
      </w:r>
    </w:p>
    <w:p w14:paraId="7455F76F" w14:textId="303CC2FA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t>jeśli xi &lt; 0 to 0, jeśli &gt;1 to 1</w:t>
      </w:r>
    </w:p>
    <w:p w14:paraId="2175D517" w14:textId="77777777" w:rsidR="00DD718F" w:rsidRPr="004C70B4" w:rsidRDefault="00DD718F" w:rsidP="0027534E">
      <w:pPr>
        <w:rPr>
          <w:b/>
          <w:bCs/>
        </w:rPr>
      </w:pPr>
    </w:p>
    <w:p w14:paraId="6B464569" w14:textId="67908440" w:rsidR="0027534E" w:rsidRPr="00DD718F" w:rsidRDefault="004823F0" w:rsidP="0027534E">
      <w:pPr>
        <w:rPr>
          <w:b/>
          <w:bCs/>
        </w:rPr>
      </w:pPr>
      <w:r w:rsidRPr="004823F0">
        <w:t>Poniżej zaprezentowano z</w:t>
      </w:r>
      <w:r w:rsidR="0027534E" w:rsidRPr="0027534E">
        <w:t xml:space="preserve">asady przeliczenia każdego kryterium na względny wskaźnik jakości </w:t>
      </w:r>
      <w:r w:rsidR="0027534E" w:rsidRPr="00DD718F">
        <w:t xml:space="preserve">xi, </w:t>
      </w:r>
      <w:r w:rsidRPr="00DD718F">
        <w:t>w oparciu o znane</w:t>
      </w:r>
      <w:r w:rsidR="0027534E" w:rsidRPr="00DD718F">
        <w:t xml:space="preserve"> wartości referencyjn</w:t>
      </w:r>
      <w:r w:rsidRPr="00DD718F">
        <w:t>e</w:t>
      </w:r>
      <w:r w:rsidR="0027534E" w:rsidRPr="00DD718F">
        <w:t xml:space="preserve"> lub skal</w:t>
      </w:r>
      <w:r w:rsidRPr="00DD718F">
        <w:t>e</w:t>
      </w:r>
      <w:r w:rsidR="0027534E" w:rsidRPr="00DD718F">
        <w:t xml:space="preserve"> punktow</w:t>
      </w:r>
      <w:r w:rsidRPr="00DD718F">
        <w:t>e</w:t>
      </w:r>
      <w:r w:rsidR="0027534E" w:rsidRPr="00DD718F">
        <w:t>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1387"/>
        <w:gridCol w:w="4017"/>
      </w:tblGrid>
      <w:tr w:rsidR="00C002FF" w:rsidRPr="00DB791F" w14:paraId="70B794F1" w14:textId="77777777" w:rsidTr="470352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E1BAC5" w14:textId="77777777" w:rsidR="0027534E" w:rsidRPr="00DB791F" w:rsidRDefault="0027534E" w:rsidP="00DB791F">
            <w:pPr>
              <w:spacing w:after="0" w:line="240" w:lineRule="auto"/>
            </w:pPr>
            <w:r w:rsidRPr="00DB791F">
              <w:t>Kryterium</w:t>
            </w:r>
          </w:p>
        </w:tc>
        <w:tc>
          <w:tcPr>
            <w:tcW w:w="0" w:type="auto"/>
            <w:vAlign w:val="center"/>
            <w:hideMark/>
          </w:tcPr>
          <w:p w14:paraId="4BC6C127" w14:textId="77777777" w:rsidR="0027534E" w:rsidRPr="00DB791F" w:rsidRDefault="0027534E" w:rsidP="00DB791F">
            <w:pPr>
              <w:spacing w:after="0" w:line="240" w:lineRule="auto"/>
            </w:pPr>
            <w:r w:rsidRPr="00DB791F">
              <w:t>Zakres</w:t>
            </w:r>
          </w:p>
        </w:tc>
        <w:tc>
          <w:tcPr>
            <w:tcW w:w="0" w:type="auto"/>
            <w:vAlign w:val="center"/>
            <w:hideMark/>
          </w:tcPr>
          <w:p w14:paraId="22ECC7BE" w14:textId="77777777" w:rsidR="0027534E" w:rsidRPr="00DB791F" w:rsidRDefault="0027534E" w:rsidP="00DB791F">
            <w:pPr>
              <w:spacing w:after="0" w:line="240" w:lineRule="auto"/>
            </w:pPr>
            <w:r w:rsidRPr="00DB791F">
              <w:t>Opis konwersji na xi</w:t>
            </w:r>
          </w:p>
        </w:tc>
      </w:tr>
      <w:tr w:rsidR="00C002FF" w:rsidRPr="00DB791F" w14:paraId="4262681B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9E859" w14:textId="122129A5" w:rsidR="0027534E" w:rsidRPr="00DB791F" w:rsidRDefault="0027534E" w:rsidP="00DB791F">
            <w:pPr>
              <w:spacing w:after="0" w:line="240" w:lineRule="auto"/>
            </w:pPr>
            <w:r w:rsidRPr="00DB791F">
              <w:t>TRL</w:t>
            </w:r>
            <w:r w:rsidR="004823F0" w:rsidRPr="00DB791F">
              <w:t xml:space="preserve"> aktualny</w:t>
            </w:r>
          </w:p>
        </w:tc>
        <w:tc>
          <w:tcPr>
            <w:tcW w:w="0" w:type="auto"/>
            <w:vAlign w:val="center"/>
            <w:hideMark/>
          </w:tcPr>
          <w:p w14:paraId="3BB36F7B" w14:textId="3E068254" w:rsidR="0027534E" w:rsidRPr="00DB791F" w:rsidRDefault="004823F0" w:rsidP="00DB791F">
            <w:pPr>
              <w:spacing w:after="0" w:line="240" w:lineRule="auto"/>
            </w:pPr>
            <w:r w:rsidRPr="00DB791F">
              <w:t>4</w:t>
            </w:r>
            <w:r w:rsidR="0027534E" w:rsidRPr="00DB791F">
              <w:t>–</w:t>
            </w:r>
            <w:r w:rsidRPr="00DB791F">
              <w:t>8</w:t>
            </w:r>
          </w:p>
        </w:tc>
        <w:tc>
          <w:tcPr>
            <w:tcW w:w="0" w:type="auto"/>
            <w:vAlign w:val="center"/>
            <w:hideMark/>
          </w:tcPr>
          <w:p w14:paraId="6DC890A8" w14:textId="5065C6B4" w:rsidR="004823F0" w:rsidRPr="00DB791F" w:rsidRDefault="0027534E" w:rsidP="00DB791F">
            <w:pPr>
              <w:spacing w:after="0" w:line="240" w:lineRule="auto"/>
            </w:pPr>
            <w:r w:rsidRPr="00DB791F">
              <w:t>xi = (TRL - 1)/8</w:t>
            </w:r>
          </w:p>
        </w:tc>
      </w:tr>
      <w:tr w:rsidR="00C002FF" w:rsidRPr="00DB791F" w14:paraId="4CB89C6F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5E1CA9B8" w14:textId="298B2C98" w:rsidR="004823F0" w:rsidRPr="00DB791F" w:rsidRDefault="004823F0" w:rsidP="00DB791F">
            <w:pPr>
              <w:spacing w:after="0" w:line="240" w:lineRule="auto"/>
            </w:pPr>
            <w:r w:rsidRPr="00DB791F">
              <w:t>TRL planowany</w:t>
            </w:r>
          </w:p>
        </w:tc>
        <w:tc>
          <w:tcPr>
            <w:tcW w:w="0" w:type="auto"/>
            <w:vAlign w:val="center"/>
          </w:tcPr>
          <w:p w14:paraId="0CA7D86E" w14:textId="3E16F556" w:rsidR="004823F0" w:rsidRPr="00DB791F" w:rsidRDefault="004823F0" w:rsidP="00DB791F">
            <w:pPr>
              <w:spacing w:after="0" w:line="240" w:lineRule="auto"/>
            </w:pPr>
            <w:r w:rsidRPr="00DB791F">
              <w:t>4-9</w:t>
            </w:r>
          </w:p>
        </w:tc>
        <w:tc>
          <w:tcPr>
            <w:tcW w:w="0" w:type="auto"/>
            <w:vAlign w:val="center"/>
          </w:tcPr>
          <w:p w14:paraId="1E26AC9C" w14:textId="1F3A11C7" w:rsidR="004823F0" w:rsidRPr="00DB791F" w:rsidRDefault="004823F0" w:rsidP="00DB791F">
            <w:pPr>
              <w:spacing w:after="0" w:line="240" w:lineRule="auto"/>
            </w:pPr>
            <w:r w:rsidRPr="00DB791F">
              <w:t>xi = (TRL - 1)/9</w:t>
            </w:r>
          </w:p>
        </w:tc>
      </w:tr>
      <w:tr w:rsidR="00915CDE" w:rsidRPr="00DB791F" w14:paraId="15D03E52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3CE3758F" w14:textId="66E86764" w:rsidR="00915CDE" w:rsidRPr="00DB791F" w:rsidRDefault="00915CDE" w:rsidP="00DB791F">
            <w:pPr>
              <w:spacing w:after="0" w:line="240" w:lineRule="auto"/>
            </w:pPr>
            <w:r w:rsidRPr="00DB791F">
              <w:t>BRL</w:t>
            </w:r>
          </w:p>
        </w:tc>
        <w:tc>
          <w:tcPr>
            <w:tcW w:w="0" w:type="auto"/>
            <w:vAlign w:val="center"/>
          </w:tcPr>
          <w:p w14:paraId="7D21D346" w14:textId="3231F7BF" w:rsidR="00915CDE" w:rsidRPr="00DB791F" w:rsidRDefault="00915CDE" w:rsidP="00DB791F">
            <w:pPr>
              <w:spacing w:after="0" w:line="240" w:lineRule="auto"/>
            </w:pPr>
            <w:r w:rsidRPr="00DB791F">
              <w:t>1-8</w:t>
            </w:r>
          </w:p>
        </w:tc>
        <w:tc>
          <w:tcPr>
            <w:tcW w:w="0" w:type="auto"/>
            <w:vAlign w:val="center"/>
          </w:tcPr>
          <w:p w14:paraId="15B32CF4" w14:textId="46AC78D4" w:rsidR="00915CDE" w:rsidRPr="00DB791F" w:rsidRDefault="00915CDE" w:rsidP="00DB791F">
            <w:pPr>
              <w:spacing w:after="0" w:line="240" w:lineRule="auto"/>
            </w:pPr>
            <w:r w:rsidRPr="00DB791F">
              <w:t>xi = (BRL - 1)/8</w:t>
            </w:r>
          </w:p>
        </w:tc>
      </w:tr>
      <w:tr w:rsidR="00C002FF" w:rsidRPr="00DB791F" w14:paraId="0EBEC2D5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09D03" w14:textId="58285EF7" w:rsidR="0027534E" w:rsidRPr="00DB791F" w:rsidRDefault="004823F0" w:rsidP="00DB791F">
            <w:pPr>
              <w:spacing w:after="0" w:line="240" w:lineRule="auto"/>
            </w:pPr>
            <w:r w:rsidRPr="00DB791F">
              <w:t>Budżet</w:t>
            </w:r>
            <w:r w:rsidR="0027534E" w:rsidRPr="00DB791F">
              <w:t xml:space="preserve"> [zł]</w:t>
            </w:r>
          </w:p>
        </w:tc>
        <w:tc>
          <w:tcPr>
            <w:tcW w:w="0" w:type="auto"/>
            <w:vAlign w:val="center"/>
            <w:hideMark/>
          </w:tcPr>
          <w:p w14:paraId="4DD467B0" w14:textId="0BF028A2" w:rsidR="0027534E" w:rsidRPr="00DB791F" w:rsidRDefault="0027534E" w:rsidP="00DB791F">
            <w:pPr>
              <w:spacing w:after="0" w:line="240" w:lineRule="auto"/>
            </w:pPr>
            <w:r>
              <w:t xml:space="preserve">np. 0 – </w:t>
            </w:r>
            <w:r w:rsidR="004823F0">
              <w:t>0,</w:t>
            </w:r>
            <w:r w:rsidR="7401A041">
              <w:t>2</w:t>
            </w:r>
            <w:r>
              <w:t xml:space="preserve"> mln</w:t>
            </w:r>
          </w:p>
        </w:tc>
        <w:tc>
          <w:tcPr>
            <w:tcW w:w="0" w:type="auto"/>
            <w:vAlign w:val="center"/>
            <w:hideMark/>
          </w:tcPr>
          <w:p w14:paraId="689A9E7B" w14:textId="7F907082" w:rsidR="00915CDE" w:rsidRPr="00DB791F" w:rsidRDefault="0027534E" w:rsidP="00DB791F">
            <w:pPr>
              <w:spacing w:after="0" w:line="240" w:lineRule="auto"/>
            </w:pPr>
            <w:r w:rsidRPr="00DB791F">
              <w:t>Im niższe koszty, tym lepiej: xi = 1 - (koszt - min)/(max - min)</w:t>
            </w:r>
          </w:p>
        </w:tc>
      </w:tr>
      <w:tr w:rsidR="00C002FF" w:rsidRPr="00DB791F" w14:paraId="0A3CB119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5194E" w14:textId="0A6DDC3E" w:rsidR="0027534E" w:rsidRPr="00DB791F" w:rsidRDefault="004823F0" w:rsidP="00DB791F">
            <w:pPr>
              <w:spacing w:after="0" w:line="240" w:lineRule="auto"/>
            </w:pPr>
            <w:r w:rsidRPr="00DB791F">
              <w:t>Doświadczenie p</w:t>
            </w:r>
            <w:r w:rsidR="0027534E" w:rsidRPr="00DB791F">
              <w:t>atenty</w:t>
            </w:r>
          </w:p>
        </w:tc>
        <w:tc>
          <w:tcPr>
            <w:tcW w:w="0" w:type="auto"/>
            <w:vAlign w:val="center"/>
            <w:hideMark/>
          </w:tcPr>
          <w:p w14:paraId="40E89A74" w14:textId="38CF6653" w:rsidR="0027534E" w:rsidRPr="00DB791F" w:rsidRDefault="0027534E" w:rsidP="00DB791F">
            <w:pPr>
              <w:spacing w:after="0" w:line="240" w:lineRule="auto"/>
            </w:pPr>
            <w:r w:rsidRPr="00DB791F">
              <w:t xml:space="preserve">0 – </w:t>
            </w:r>
            <w:r w:rsidR="004823F0" w:rsidRPr="00DB791F">
              <w:t>4</w:t>
            </w:r>
          </w:p>
        </w:tc>
        <w:tc>
          <w:tcPr>
            <w:tcW w:w="0" w:type="auto"/>
            <w:vAlign w:val="center"/>
            <w:hideMark/>
          </w:tcPr>
          <w:p w14:paraId="367A3B2B" w14:textId="4DFAADAB" w:rsidR="0027534E" w:rsidRPr="00DB791F" w:rsidRDefault="0027534E" w:rsidP="00DB791F">
            <w:pPr>
              <w:spacing w:after="0" w:line="240" w:lineRule="auto"/>
            </w:pPr>
            <w:r w:rsidRPr="00DB791F">
              <w:t>xi = liczba patentów/</w:t>
            </w:r>
            <w:r w:rsidR="004823F0" w:rsidRPr="00DB791F">
              <w:t>4</w:t>
            </w:r>
            <w:r w:rsidRPr="00DB791F">
              <w:t xml:space="preserve"> (</w:t>
            </w:r>
            <w:r w:rsidR="004823F0" w:rsidRPr="00DB791F">
              <w:t>wartość od 0 do 1</w:t>
            </w:r>
            <w:r w:rsidRPr="00DB791F">
              <w:t>)</w:t>
            </w:r>
          </w:p>
        </w:tc>
      </w:tr>
      <w:tr w:rsidR="00C002FF" w:rsidRPr="00DB791F" w14:paraId="02EBD9ED" w14:textId="77777777" w:rsidTr="4703526C">
        <w:trPr>
          <w:tblCellSpacing w:w="15" w:type="dxa"/>
        </w:trPr>
        <w:tc>
          <w:tcPr>
            <w:tcW w:w="0" w:type="auto"/>
          </w:tcPr>
          <w:p w14:paraId="601E96BD" w14:textId="252C891E" w:rsidR="00C002FF" w:rsidRPr="00DB791F" w:rsidRDefault="00C002FF" w:rsidP="00DB791F">
            <w:pPr>
              <w:spacing w:after="0" w:line="240" w:lineRule="auto"/>
            </w:pPr>
            <w:r w:rsidRPr="00DB791F">
              <w:t>Doświadczenie projekty B+R</w:t>
            </w:r>
          </w:p>
        </w:tc>
        <w:tc>
          <w:tcPr>
            <w:tcW w:w="0" w:type="auto"/>
          </w:tcPr>
          <w:p w14:paraId="1089AA21" w14:textId="48F96BFB" w:rsidR="00C002FF" w:rsidRPr="00DB791F" w:rsidRDefault="00C002FF" w:rsidP="00DB791F">
            <w:pPr>
              <w:spacing w:after="0" w:line="240" w:lineRule="auto"/>
            </w:pPr>
            <w:r w:rsidRPr="00DB791F">
              <w:t>0 – 8</w:t>
            </w:r>
          </w:p>
        </w:tc>
        <w:tc>
          <w:tcPr>
            <w:tcW w:w="0" w:type="auto"/>
            <w:vAlign w:val="center"/>
          </w:tcPr>
          <w:p w14:paraId="0C5062D2" w14:textId="5B882B93" w:rsidR="00C002FF" w:rsidRPr="00DB791F" w:rsidRDefault="00C002FF" w:rsidP="00DB791F">
            <w:pPr>
              <w:spacing w:after="0" w:line="240" w:lineRule="auto"/>
            </w:pPr>
            <w:r w:rsidRPr="00DB791F">
              <w:t>xi = liczba projektów/8 (wartość od 0 do 1)</w:t>
            </w:r>
          </w:p>
        </w:tc>
      </w:tr>
      <w:tr w:rsidR="00C002FF" w:rsidRPr="00DB791F" w14:paraId="692DE434" w14:textId="77777777" w:rsidTr="4703526C">
        <w:trPr>
          <w:tblCellSpacing w:w="15" w:type="dxa"/>
        </w:trPr>
        <w:tc>
          <w:tcPr>
            <w:tcW w:w="0" w:type="auto"/>
          </w:tcPr>
          <w:p w14:paraId="0E6F8394" w14:textId="49349485" w:rsidR="00C002FF" w:rsidRPr="00DB791F" w:rsidRDefault="00C002FF" w:rsidP="00DB791F">
            <w:pPr>
              <w:spacing w:after="0" w:line="240" w:lineRule="auto"/>
            </w:pPr>
            <w:r w:rsidRPr="00DB791F">
              <w:t>Doświadczenie usługi B+R</w:t>
            </w:r>
          </w:p>
        </w:tc>
        <w:tc>
          <w:tcPr>
            <w:tcW w:w="0" w:type="auto"/>
          </w:tcPr>
          <w:p w14:paraId="67178F18" w14:textId="0CD59995" w:rsidR="00C002FF" w:rsidRPr="00DB791F" w:rsidRDefault="00C002FF" w:rsidP="00DB791F">
            <w:pPr>
              <w:spacing w:after="0" w:line="240" w:lineRule="auto"/>
            </w:pPr>
            <w:r w:rsidRPr="00DB791F">
              <w:t>0 – 4</w:t>
            </w:r>
          </w:p>
        </w:tc>
        <w:tc>
          <w:tcPr>
            <w:tcW w:w="0" w:type="auto"/>
          </w:tcPr>
          <w:p w14:paraId="0DD96CC1" w14:textId="6F83E1E7" w:rsidR="00C002FF" w:rsidRPr="00DB791F" w:rsidRDefault="00C002FF" w:rsidP="00DB791F">
            <w:pPr>
              <w:spacing w:after="0" w:line="240" w:lineRule="auto"/>
            </w:pPr>
            <w:r w:rsidRPr="00DB791F">
              <w:t>xi = liczba usług/4 (wartość od 0 do 1)</w:t>
            </w:r>
          </w:p>
        </w:tc>
      </w:tr>
      <w:tr w:rsidR="00C002FF" w:rsidRPr="00DB791F" w14:paraId="4A84ABB5" w14:textId="77777777" w:rsidTr="4703526C">
        <w:trPr>
          <w:tblCellSpacing w:w="15" w:type="dxa"/>
        </w:trPr>
        <w:tc>
          <w:tcPr>
            <w:tcW w:w="0" w:type="auto"/>
          </w:tcPr>
          <w:p w14:paraId="3C20B4FA" w14:textId="14232C81" w:rsidR="00C002FF" w:rsidRPr="00DB791F" w:rsidRDefault="00C002FF" w:rsidP="00DB791F">
            <w:pPr>
              <w:spacing w:after="0" w:line="240" w:lineRule="auto"/>
            </w:pPr>
            <w:r w:rsidRPr="00DB791F">
              <w:t>Doświadczenie komercjalizacja</w:t>
            </w:r>
          </w:p>
        </w:tc>
        <w:tc>
          <w:tcPr>
            <w:tcW w:w="0" w:type="auto"/>
          </w:tcPr>
          <w:p w14:paraId="4DCBBABA" w14:textId="764F28EF" w:rsidR="00C002FF" w:rsidRPr="00DB791F" w:rsidRDefault="00C002FF" w:rsidP="00DB791F">
            <w:pPr>
              <w:spacing w:after="0" w:line="240" w:lineRule="auto"/>
            </w:pPr>
            <w:r w:rsidRPr="00DB791F">
              <w:t>0 – 0,1 mln</w:t>
            </w:r>
          </w:p>
        </w:tc>
        <w:tc>
          <w:tcPr>
            <w:tcW w:w="0" w:type="auto"/>
          </w:tcPr>
          <w:p w14:paraId="1BC75E98" w14:textId="526AA725" w:rsidR="00C002FF" w:rsidRPr="00DB791F" w:rsidRDefault="00C002FF" w:rsidP="00DB791F">
            <w:pPr>
              <w:spacing w:after="0" w:line="240" w:lineRule="auto"/>
            </w:pPr>
            <w:r w:rsidRPr="00DB791F">
              <w:t>Im wyższy przychód, tym lepiej: xi = (przychód - m</w:t>
            </w:r>
            <w:r w:rsidR="00915CDE" w:rsidRPr="00DB791F">
              <w:t>in</w:t>
            </w:r>
            <w:r w:rsidRPr="00DB791F">
              <w:t>)/(max - min)</w:t>
            </w:r>
          </w:p>
        </w:tc>
      </w:tr>
      <w:tr w:rsidR="00C002FF" w:rsidRPr="00DB791F" w14:paraId="4824D9E9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2C2B4" w14:textId="77777777" w:rsidR="0027534E" w:rsidRPr="00DB791F" w:rsidRDefault="0027534E" w:rsidP="00DB791F">
            <w:pPr>
              <w:spacing w:after="0" w:line="240" w:lineRule="auto"/>
            </w:pPr>
            <w:r w:rsidRPr="00DB791F">
              <w:t>Liczba przedsiębiorców</w:t>
            </w:r>
          </w:p>
        </w:tc>
        <w:tc>
          <w:tcPr>
            <w:tcW w:w="0" w:type="auto"/>
            <w:vAlign w:val="center"/>
            <w:hideMark/>
          </w:tcPr>
          <w:p w14:paraId="48D45D30" w14:textId="48FEB41C" w:rsidR="0027534E" w:rsidRPr="00DB791F" w:rsidRDefault="0027534E" w:rsidP="00DB791F">
            <w:pPr>
              <w:spacing w:after="0" w:line="240" w:lineRule="auto"/>
            </w:pPr>
            <w:r w:rsidRPr="00DB791F">
              <w:t>0 – 10</w:t>
            </w:r>
          </w:p>
        </w:tc>
        <w:tc>
          <w:tcPr>
            <w:tcW w:w="0" w:type="auto"/>
            <w:vAlign w:val="center"/>
            <w:hideMark/>
          </w:tcPr>
          <w:p w14:paraId="1607E690" w14:textId="109C59D3" w:rsidR="0027534E" w:rsidRPr="00DB791F" w:rsidRDefault="0027534E" w:rsidP="00DB791F">
            <w:pPr>
              <w:spacing w:after="0" w:line="240" w:lineRule="auto"/>
            </w:pPr>
            <w:r w:rsidRPr="00DB791F">
              <w:t xml:space="preserve">xi = liczba/10 </w:t>
            </w:r>
            <w:r w:rsidR="004823F0" w:rsidRPr="00DB791F">
              <w:t>(wartość od 0 do 1)</w:t>
            </w:r>
          </w:p>
        </w:tc>
      </w:tr>
      <w:tr w:rsidR="00C002FF" w:rsidRPr="00DB791F" w14:paraId="533963E8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890F1" w14:textId="77777777" w:rsidR="0027534E" w:rsidRPr="00DB791F" w:rsidRDefault="0027534E" w:rsidP="00DB791F">
            <w:pPr>
              <w:spacing w:after="0" w:line="240" w:lineRule="auto"/>
            </w:pPr>
            <w:r w:rsidRPr="00DB791F">
              <w:t>Interdyscyplinarność</w:t>
            </w:r>
          </w:p>
        </w:tc>
        <w:tc>
          <w:tcPr>
            <w:tcW w:w="0" w:type="auto"/>
            <w:vAlign w:val="center"/>
            <w:hideMark/>
          </w:tcPr>
          <w:p w14:paraId="516D4A76" w14:textId="405CEE67" w:rsidR="0027534E" w:rsidRPr="00DB791F" w:rsidRDefault="0027534E" w:rsidP="00DB791F">
            <w:pPr>
              <w:spacing w:after="0" w:line="240" w:lineRule="auto"/>
            </w:pPr>
            <w:r w:rsidRPr="00DB791F">
              <w:t>0</w:t>
            </w:r>
            <w:r w:rsidR="004823F0" w:rsidRPr="00DB791F">
              <w:t>/</w:t>
            </w:r>
            <w:r w:rsidRPr="00DB791F">
              <w:t>1</w:t>
            </w:r>
          </w:p>
        </w:tc>
        <w:tc>
          <w:tcPr>
            <w:tcW w:w="0" w:type="auto"/>
            <w:vAlign w:val="center"/>
            <w:hideMark/>
          </w:tcPr>
          <w:p w14:paraId="68CE73B2" w14:textId="77777777" w:rsidR="0027534E" w:rsidRPr="00DB791F" w:rsidRDefault="0027534E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  <w:tr w:rsidR="00C002FF" w:rsidRPr="00DB791F" w14:paraId="66C70758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A98DE" w14:textId="77777777" w:rsidR="0027534E" w:rsidRPr="00DB791F" w:rsidRDefault="0027534E" w:rsidP="00DB791F">
            <w:pPr>
              <w:spacing w:after="0" w:line="240" w:lineRule="auto"/>
            </w:pPr>
            <w:r w:rsidRPr="00DB791F">
              <w:t>NPV</w:t>
            </w:r>
          </w:p>
        </w:tc>
        <w:tc>
          <w:tcPr>
            <w:tcW w:w="0" w:type="auto"/>
            <w:vAlign w:val="center"/>
            <w:hideMark/>
          </w:tcPr>
          <w:p w14:paraId="20875178" w14:textId="77777777" w:rsidR="0027534E" w:rsidRPr="00DB791F" w:rsidRDefault="0027534E" w:rsidP="00DB791F">
            <w:pPr>
              <w:spacing w:after="0" w:line="240" w:lineRule="auto"/>
            </w:pPr>
            <w:r w:rsidRPr="00DB791F">
              <w:t>dowolna liczba &gt;0</w:t>
            </w:r>
          </w:p>
        </w:tc>
        <w:tc>
          <w:tcPr>
            <w:tcW w:w="0" w:type="auto"/>
            <w:vAlign w:val="center"/>
            <w:hideMark/>
          </w:tcPr>
          <w:p w14:paraId="024D33C0" w14:textId="77777777" w:rsidR="0027534E" w:rsidRPr="00DB791F" w:rsidRDefault="0027534E" w:rsidP="00DB791F">
            <w:pPr>
              <w:spacing w:after="0" w:line="240" w:lineRule="auto"/>
            </w:pPr>
            <w:r w:rsidRPr="00DB791F">
              <w:t>xi = (NPV - min) / (max - min)</w:t>
            </w:r>
          </w:p>
        </w:tc>
      </w:tr>
      <w:tr w:rsidR="00C925FF" w:rsidRPr="00DB791F" w14:paraId="3030FB0B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3433604A" w14:textId="2A565431" w:rsidR="00C925FF" w:rsidRPr="00DB791F" w:rsidRDefault="00C925FF" w:rsidP="00DB791F">
            <w:pPr>
              <w:spacing w:after="0" w:line="240" w:lineRule="auto"/>
            </w:pPr>
            <w:r w:rsidRPr="00DB791F">
              <w:t>Zrównoważony rozwój</w:t>
            </w:r>
          </w:p>
        </w:tc>
        <w:tc>
          <w:tcPr>
            <w:tcW w:w="0" w:type="auto"/>
            <w:vAlign w:val="center"/>
          </w:tcPr>
          <w:p w14:paraId="3201BEF7" w14:textId="4489B569" w:rsidR="00C925FF" w:rsidRPr="00DB791F" w:rsidRDefault="00C925FF" w:rsidP="00DB791F">
            <w:pPr>
              <w:spacing w:after="0" w:line="240" w:lineRule="auto"/>
            </w:pPr>
            <w:r w:rsidRPr="00DB791F">
              <w:t>0-3</w:t>
            </w:r>
          </w:p>
        </w:tc>
        <w:tc>
          <w:tcPr>
            <w:tcW w:w="0" w:type="auto"/>
            <w:vAlign w:val="center"/>
          </w:tcPr>
          <w:p w14:paraId="0807D988" w14:textId="3F4EB190" w:rsidR="00C925FF" w:rsidRPr="00DB791F" w:rsidRDefault="00C925FF" w:rsidP="00DB791F">
            <w:pPr>
              <w:spacing w:after="0" w:line="240" w:lineRule="auto"/>
            </w:pPr>
            <w:r w:rsidRPr="00DB791F">
              <w:t>xi = liczba/3 (wartość od 0 do 1)</w:t>
            </w:r>
          </w:p>
        </w:tc>
      </w:tr>
      <w:tr w:rsidR="00C002FF" w:rsidRPr="00DB791F" w14:paraId="06E7726E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B2F1A" w14:textId="35FB06E6" w:rsidR="0027534E" w:rsidRPr="00DB791F" w:rsidRDefault="0027534E" w:rsidP="00DB791F">
            <w:pPr>
              <w:spacing w:after="0" w:line="240" w:lineRule="auto"/>
            </w:pPr>
            <w:r w:rsidRPr="00DB791F">
              <w:t>Alternatywn</w:t>
            </w:r>
            <w:r w:rsidR="00C002FF" w:rsidRPr="00DB791F">
              <w:t>e rozwiązania</w:t>
            </w:r>
          </w:p>
        </w:tc>
        <w:tc>
          <w:tcPr>
            <w:tcW w:w="0" w:type="auto"/>
            <w:vAlign w:val="center"/>
            <w:hideMark/>
          </w:tcPr>
          <w:p w14:paraId="5E7AD2CF" w14:textId="4B78DC05" w:rsidR="0027534E" w:rsidRPr="00DB791F" w:rsidRDefault="0027534E" w:rsidP="00DB791F">
            <w:pPr>
              <w:spacing w:after="0" w:line="240" w:lineRule="auto"/>
            </w:pPr>
            <w:r w:rsidRPr="00DB791F">
              <w:t>0</w:t>
            </w:r>
            <w:r w:rsidR="00C002FF" w:rsidRPr="00DB791F">
              <w:t>/</w:t>
            </w:r>
            <w:r w:rsidRPr="00DB791F">
              <w:t>1</w:t>
            </w:r>
          </w:p>
        </w:tc>
        <w:tc>
          <w:tcPr>
            <w:tcW w:w="0" w:type="auto"/>
            <w:vAlign w:val="center"/>
            <w:hideMark/>
          </w:tcPr>
          <w:p w14:paraId="28F62B4A" w14:textId="6A598874" w:rsidR="0027534E" w:rsidRPr="00DB791F" w:rsidRDefault="0027534E" w:rsidP="00DB791F">
            <w:pPr>
              <w:spacing w:after="0" w:line="240" w:lineRule="auto"/>
            </w:pPr>
            <w:r w:rsidRPr="00DB791F">
              <w:t xml:space="preserve">xi = wartość (0 – </w:t>
            </w:r>
            <w:r w:rsidR="00C002FF" w:rsidRPr="00DB791F">
              <w:t xml:space="preserve">jest alternatywa tj. </w:t>
            </w:r>
            <w:r w:rsidRPr="00DB791F">
              <w:t>gor</w:t>
            </w:r>
            <w:r w:rsidR="00C002FF" w:rsidRPr="00DB791F">
              <w:t>zej</w:t>
            </w:r>
            <w:r w:rsidRPr="00DB791F">
              <w:t xml:space="preserve">, 1 – brak alternatywy </w:t>
            </w:r>
            <w:r w:rsidR="00C002FF" w:rsidRPr="00DB791F">
              <w:t xml:space="preserve">tj. </w:t>
            </w:r>
            <w:r w:rsidRPr="00DB791F">
              <w:t>lepiej)</w:t>
            </w:r>
          </w:p>
        </w:tc>
      </w:tr>
      <w:tr w:rsidR="00C002FF" w:rsidRPr="00DB791F" w14:paraId="7A30E232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D9071" w14:textId="69C55D7B" w:rsidR="0027534E" w:rsidRPr="00DB791F" w:rsidRDefault="00C002FF" w:rsidP="00DB791F">
            <w:pPr>
              <w:spacing w:after="0" w:line="240" w:lineRule="auto"/>
            </w:pPr>
            <w:r w:rsidRPr="00DB791F">
              <w:t>Promocja</w:t>
            </w:r>
          </w:p>
        </w:tc>
        <w:tc>
          <w:tcPr>
            <w:tcW w:w="0" w:type="auto"/>
            <w:vAlign w:val="center"/>
            <w:hideMark/>
          </w:tcPr>
          <w:p w14:paraId="213B3EE1" w14:textId="4BFDF981" w:rsidR="0027534E" w:rsidRPr="00DB791F" w:rsidRDefault="0027534E" w:rsidP="00DB791F">
            <w:pPr>
              <w:spacing w:after="0" w:line="240" w:lineRule="auto"/>
            </w:pPr>
            <w:r w:rsidRPr="00DB791F">
              <w:t>0</w:t>
            </w:r>
            <w:r w:rsidR="00C002FF" w:rsidRPr="00DB791F">
              <w:t>/</w:t>
            </w:r>
            <w:r w:rsidRPr="00DB791F">
              <w:t>1</w:t>
            </w:r>
          </w:p>
        </w:tc>
        <w:tc>
          <w:tcPr>
            <w:tcW w:w="0" w:type="auto"/>
            <w:vAlign w:val="center"/>
            <w:hideMark/>
          </w:tcPr>
          <w:p w14:paraId="78E81314" w14:textId="77777777" w:rsidR="0027534E" w:rsidRPr="00DB791F" w:rsidRDefault="0027534E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  <w:tr w:rsidR="00C002FF" w:rsidRPr="00DB791F" w14:paraId="3238B086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5233FE2D" w14:textId="50BE37FF" w:rsidR="00C002FF" w:rsidRPr="00DB791F" w:rsidRDefault="00C002FF" w:rsidP="00DB791F">
            <w:pPr>
              <w:spacing w:after="0" w:line="240" w:lineRule="auto"/>
            </w:pPr>
            <w:r w:rsidRPr="00DB791F">
              <w:t xml:space="preserve">List intencyjny/gotowość do założenia spółki </w:t>
            </w:r>
            <w:proofErr w:type="spellStart"/>
            <w:r w:rsidRPr="00DB791F">
              <w:t>spin</w:t>
            </w:r>
            <w:proofErr w:type="spellEnd"/>
            <w:r w:rsidRPr="00DB791F">
              <w:t xml:space="preserve"> off</w:t>
            </w:r>
          </w:p>
        </w:tc>
        <w:tc>
          <w:tcPr>
            <w:tcW w:w="0" w:type="auto"/>
          </w:tcPr>
          <w:p w14:paraId="2FAAEA8D" w14:textId="0172947E" w:rsidR="00C002FF" w:rsidRPr="00DB791F" w:rsidRDefault="00C002FF" w:rsidP="00DB791F">
            <w:pPr>
              <w:spacing w:after="0" w:line="240" w:lineRule="auto"/>
            </w:pPr>
            <w:r w:rsidRPr="00DB791F">
              <w:t>0/1</w:t>
            </w:r>
          </w:p>
        </w:tc>
        <w:tc>
          <w:tcPr>
            <w:tcW w:w="0" w:type="auto"/>
          </w:tcPr>
          <w:p w14:paraId="4AF4F3C5" w14:textId="23B759A0" w:rsidR="00C002FF" w:rsidRPr="00DB791F" w:rsidRDefault="00C002FF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  <w:tr w:rsidR="00C002FF" w:rsidRPr="00DB791F" w14:paraId="7A2A678A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2EAE30E3" w14:textId="42E912BD" w:rsidR="00C002FF" w:rsidRPr="00DB791F" w:rsidRDefault="00C002FF" w:rsidP="00DB791F">
            <w:pPr>
              <w:spacing w:after="0" w:line="240" w:lineRule="auto"/>
            </w:pPr>
            <w:r w:rsidRPr="00DB791F">
              <w:t>KIS</w:t>
            </w:r>
          </w:p>
        </w:tc>
        <w:tc>
          <w:tcPr>
            <w:tcW w:w="0" w:type="auto"/>
          </w:tcPr>
          <w:p w14:paraId="6B96410A" w14:textId="05173A2F" w:rsidR="00C002FF" w:rsidRPr="00DB791F" w:rsidRDefault="00C002FF" w:rsidP="00DB791F">
            <w:pPr>
              <w:spacing w:after="0" w:line="240" w:lineRule="auto"/>
            </w:pPr>
            <w:r w:rsidRPr="00DB791F">
              <w:t>0/1</w:t>
            </w:r>
          </w:p>
        </w:tc>
        <w:tc>
          <w:tcPr>
            <w:tcW w:w="0" w:type="auto"/>
          </w:tcPr>
          <w:p w14:paraId="7E4A0EE5" w14:textId="671FDCB0" w:rsidR="00C002FF" w:rsidRPr="00DB791F" w:rsidRDefault="00C002FF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</w:tbl>
    <w:p w14:paraId="1E404525" w14:textId="77777777" w:rsidR="0027534E" w:rsidRPr="0027534E" w:rsidRDefault="00000000" w:rsidP="0027534E">
      <w:pPr>
        <w:rPr>
          <w:b/>
          <w:bCs/>
        </w:rPr>
      </w:pPr>
      <w:r>
        <w:rPr>
          <w:b/>
          <w:bCs/>
        </w:rPr>
        <w:pict w14:anchorId="3632EB46">
          <v:rect id="_x0000_i1027" style="width:0;height:1.5pt" o:hralign="center" o:hrstd="t" o:hr="t" fillcolor="#a0a0a0" stroked="f"/>
        </w:pict>
      </w:r>
    </w:p>
    <w:p w14:paraId="572AF439" w14:textId="5F7715DB" w:rsidR="00C33756" w:rsidRPr="00C33756" w:rsidRDefault="00C33756" w:rsidP="00C33756">
      <w:r>
        <w:rPr>
          <w:b/>
          <w:bCs/>
        </w:rPr>
        <w:t>4</w:t>
      </w:r>
      <w:r w:rsidRPr="004C70B4">
        <w:rPr>
          <w:b/>
          <w:bCs/>
        </w:rPr>
        <w:t xml:space="preserve">. </w:t>
      </w:r>
      <w:r>
        <w:rPr>
          <w:b/>
          <w:bCs/>
        </w:rPr>
        <w:t xml:space="preserve">Pogrupowano parametry </w:t>
      </w:r>
      <w:r w:rsidRPr="00C33756">
        <w:t>zgodnie z kategoriami przyporządkowując każde kryterium do grupy</w:t>
      </w:r>
      <w:r>
        <w:rPr>
          <w:b/>
          <w:bCs/>
        </w:rPr>
        <w:t xml:space="preserve"> SCQ </w:t>
      </w:r>
      <w:r w:rsidRPr="00C33756">
        <w:t>(</w:t>
      </w:r>
      <w:proofErr w:type="spellStart"/>
      <w:r w:rsidRPr="00C33756">
        <w:t>Sectional</w:t>
      </w:r>
      <w:proofErr w:type="spellEnd"/>
      <w:r w:rsidRPr="00C33756">
        <w:t xml:space="preserve"> </w:t>
      </w:r>
      <w:proofErr w:type="spellStart"/>
      <w:r w:rsidRPr="00C33756">
        <w:t>Coefficient</w:t>
      </w:r>
      <w:proofErr w:type="spellEnd"/>
      <w:r w:rsidRPr="00C33756">
        <w:t xml:space="preserve"> of </w:t>
      </w:r>
      <w:proofErr w:type="spellStart"/>
      <w:r w:rsidRPr="00C33756">
        <w:t>Quality</w:t>
      </w:r>
      <w:proofErr w:type="spellEnd"/>
      <w:r w:rsidRPr="00C33756">
        <w:t>). SCQ to średnia wartość wskaźników xi dla danej grupy cech.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5579"/>
      </w:tblGrid>
      <w:tr w:rsidR="00C33756" w:rsidRPr="0027534E" w14:paraId="0D29F603" w14:textId="77777777" w:rsidTr="00DD718F">
        <w:trPr>
          <w:tblHeader/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25E81AE8" w14:textId="77777777" w:rsidR="00C33756" w:rsidRPr="0027534E" w:rsidRDefault="00C33756" w:rsidP="002170C7">
            <w:pPr>
              <w:rPr>
                <w:b/>
                <w:bCs/>
              </w:rPr>
            </w:pPr>
            <w:r w:rsidRPr="0027534E">
              <w:rPr>
                <w:b/>
                <w:bCs/>
              </w:rPr>
              <w:t>Grupa SCQ</w:t>
            </w:r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45CF4D8" w14:textId="77777777" w:rsidR="00C33756" w:rsidRPr="0027534E" w:rsidRDefault="00C33756" w:rsidP="002170C7">
            <w:pPr>
              <w:rPr>
                <w:b/>
                <w:bCs/>
              </w:rPr>
            </w:pPr>
            <w:r w:rsidRPr="0027534E">
              <w:rPr>
                <w:b/>
                <w:bCs/>
              </w:rPr>
              <w:t>Kryterium</w:t>
            </w:r>
            <w:r>
              <w:rPr>
                <w:b/>
                <w:bCs/>
              </w:rPr>
              <w:t>:</w:t>
            </w:r>
          </w:p>
        </w:tc>
      </w:tr>
      <w:tr w:rsidR="00C33756" w:rsidRPr="0027534E" w14:paraId="320583C3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1DCF8804" w14:textId="77777777" w:rsidR="00C33756" w:rsidRPr="0027534E" w:rsidRDefault="00C33756" w:rsidP="002170C7">
            <w:proofErr w:type="spellStart"/>
            <w:r w:rsidRPr="0027534E">
              <w:t>SCQ_Tech</w:t>
            </w:r>
            <w:proofErr w:type="spellEnd"/>
            <w:r w:rsidRPr="0027534E">
              <w:t xml:space="preserve"> (technologiczne)</w:t>
            </w:r>
          </w:p>
        </w:tc>
        <w:tc>
          <w:tcPr>
            <w:tcW w:w="0" w:type="auto"/>
            <w:vAlign w:val="center"/>
            <w:hideMark/>
          </w:tcPr>
          <w:p w14:paraId="3DA1BA66" w14:textId="77777777" w:rsidR="00C33756" w:rsidRPr="0027534E" w:rsidRDefault="00C33756" w:rsidP="00DB791F">
            <w:pPr>
              <w:spacing w:after="0" w:line="240" w:lineRule="auto"/>
            </w:pPr>
            <w:r w:rsidRPr="0027534E">
              <w:t xml:space="preserve">- poziom TRL </w:t>
            </w:r>
            <w:r w:rsidRPr="0027534E">
              <w:br/>
              <w:t xml:space="preserve">- Zrównoważony rozwój i zasada 6R </w:t>
            </w:r>
            <w:r w:rsidRPr="0027534E">
              <w:br/>
              <w:t>- KIS</w:t>
            </w:r>
            <w:r w:rsidRPr="0027534E">
              <w:br/>
              <w:t xml:space="preserve">- </w:t>
            </w:r>
            <w:r w:rsidRPr="00DB791F">
              <w:t>Technologia p</w:t>
            </w:r>
            <w:r w:rsidRPr="0027534E">
              <w:t>odwójnego zastosowania</w:t>
            </w:r>
          </w:p>
          <w:p w14:paraId="0078B6B2" w14:textId="77777777" w:rsidR="00C33756" w:rsidRPr="0027534E" w:rsidRDefault="00C33756" w:rsidP="002170C7"/>
        </w:tc>
      </w:tr>
      <w:tr w:rsidR="00C33756" w:rsidRPr="0027534E" w14:paraId="05C54D61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189C930E" w14:textId="77777777" w:rsidR="00C33756" w:rsidRPr="0027534E" w:rsidRDefault="00C33756" w:rsidP="002170C7">
            <w:proofErr w:type="spellStart"/>
            <w:r w:rsidRPr="0027534E">
              <w:t>SCQ_Impact</w:t>
            </w:r>
            <w:proofErr w:type="spellEnd"/>
            <w:r w:rsidRPr="0027534E">
              <w:t xml:space="preserve"> (wdrożeniowe)</w:t>
            </w:r>
          </w:p>
        </w:tc>
        <w:tc>
          <w:tcPr>
            <w:tcW w:w="0" w:type="auto"/>
            <w:vAlign w:val="center"/>
            <w:hideMark/>
          </w:tcPr>
          <w:p w14:paraId="3B958DA9" w14:textId="7B03E240" w:rsidR="00C33756" w:rsidRDefault="00C33756" w:rsidP="00DB791F">
            <w:pPr>
              <w:spacing w:after="0" w:line="240" w:lineRule="auto"/>
            </w:pPr>
            <w:r w:rsidRPr="0027534E">
              <w:t>- BRL</w:t>
            </w:r>
            <w:r w:rsidRPr="0027534E">
              <w:br/>
              <w:t xml:space="preserve">- Liczba </w:t>
            </w:r>
            <w:r w:rsidRPr="00DB791F">
              <w:t>potencjalnych przedsiębiorców</w:t>
            </w:r>
            <w:r w:rsidRPr="0027534E">
              <w:t xml:space="preserve"> </w:t>
            </w:r>
            <w:r w:rsidRPr="0027534E">
              <w:br/>
              <w:t>- Alternatywne technologie</w:t>
            </w:r>
            <w:r w:rsidRPr="0027534E">
              <w:br/>
              <w:t>- Promocja</w:t>
            </w:r>
            <w:r>
              <w:br/>
              <w:t xml:space="preserve">- List intencyjny/gotowość do założenia spółki </w:t>
            </w:r>
            <w:proofErr w:type="spellStart"/>
            <w:r>
              <w:t>spin</w:t>
            </w:r>
            <w:proofErr w:type="spellEnd"/>
            <w:r>
              <w:t xml:space="preserve"> off</w:t>
            </w:r>
          </w:p>
          <w:p w14:paraId="73685D04" w14:textId="77777777" w:rsidR="00C33756" w:rsidRPr="0027534E" w:rsidRDefault="00C33756" w:rsidP="002170C7"/>
        </w:tc>
      </w:tr>
      <w:tr w:rsidR="00C33756" w:rsidRPr="0027534E" w14:paraId="1E30D957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7D363D81" w14:textId="77777777" w:rsidR="00C33756" w:rsidRPr="0027534E" w:rsidRDefault="00C33756" w:rsidP="002170C7">
            <w:proofErr w:type="spellStart"/>
            <w:r w:rsidRPr="0027534E">
              <w:t>SCQ_Structure</w:t>
            </w:r>
            <w:proofErr w:type="spellEnd"/>
            <w:r w:rsidRPr="0027534E">
              <w:t xml:space="preserve"> (organizacyjne)</w:t>
            </w:r>
          </w:p>
        </w:tc>
        <w:tc>
          <w:tcPr>
            <w:tcW w:w="0" w:type="auto"/>
            <w:vAlign w:val="center"/>
            <w:hideMark/>
          </w:tcPr>
          <w:p w14:paraId="24E271B4" w14:textId="77777777" w:rsidR="00C33756" w:rsidRPr="0027534E" w:rsidRDefault="00C33756" w:rsidP="00DB791F">
            <w:pPr>
              <w:spacing w:after="0" w:line="240" w:lineRule="auto"/>
            </w:pPr>
            <w:r w:rsidRPr="0027534E">
              <w:t xml:space="preserve">- budżet </w:t>
            </w:r>
            <w:r w:rsidRPr="0027534E">
              <w:br/>
              <w:t>- Interdyscyplinarność rozwiązania</w:t>
            </w:r>
            <w:r w:rsidRPr="0027534E">
              <w:br/>
              <w:t>- Doświadczenie patenty</w:t>
            </w:r>
            <w:r w:rsidRPr="0027534E">
              <w:br/>
              <w:t xml:space="preserve">- Doświadczenie </w:t>
            </w:r>
            <w:r w:rsidRPr="00DB791F">
              <w:rPr>
                <w:b/>
                <w:bCs/>
              </w:rPr>
              <w:t>usługi badawcze</w:t>
            </w:r>
            <w:r w:rsidRPr="0027534E">
              <w:br/>
              <w:t>- Doświadczenie realizacja projektów B+R</w:t>
            </w:r>
            <w:r w:rsidRPr="0027534E">
              <w:br/>
              <w:t>- Doświadczenie w komercjalizacji</w:t>
            </w:r>
          </w:p>
        </w:tc>
      </w:tr>
    </w:tbl>
    <w:p w14:paraId="1BB70441" w14:textId="5332C3DF" w:rsidR="00C33756" w:rsidRDefault="00000000" w:rsidP="0027534E">
      <w:pPr>
        <w:rPr>
          <w:rFonts w:ascii="Segoe UI Emoji" w:hAnsi="Segoe UI Emoji" w:cs="Segoe UI Emoji"/>
          <w:b/>
          <w:bCs/>
        </w:rPr>
      </w:pPr>
      <w:r>
        <w:pict w14:anchorId="01130EFD">
          <v:rect id="_x0000_i1028" style="width:0;height:1.5pt" o:hralign="center" o:hrstd="t" o:hr="t" fillcolor="#a0a0a0" stroked="f"/>
        </w:pict>
      </w:r>
    </w:p>
    <w:p w14:paraId="22A9540A" w14:textId="21DDF29B" w:rsidR="0027534E" w:rsidRPr="0027534E" w:rsidRDefault="00C925FF" w:rsidP="0027534E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5</w:t>
      </w:r>
      <w:r w:rsidR="0027534E" w:rsidRPr="0027534E">
        <w:rPr>
          <w:b/>
          <w:bCs/>
        </w:rPr>
        <w:t>. Oblicz</w:t>
      </w:r>
      <w:r>
        <w:rPr>
          <w:b/>
          <w:bCs/>
        </w:rPr>
        <w:t>ono</w:t>
      </w:r>
      <w:r w:rsidR="0027534E" w:rsidRPr="0027534E">
        <w:rPr>
          <w:b/>
          <w:bCs/>
        </w:rPr>
        <w:t xml:space="preserve"> SCQ i GCQ</w:t>
      </w:r>
      <w:r w:rsidR="00C33756">
        <w:rPr>
          <w:b/>
          <w:bCs/>
        </w:rPr>
        <w:t xml:space="preserve"> </w:t>
      </w:r>
    </w:p>
    <w:p w14:paraId="753A8B5E" w14:textId="1CD12ECF" w:rsidR="0027534E" w:rsidRPr="00C33756" w:rsidRDefault="0027534E" w:rsidP="0027534E">
      <w:r w:rsidRPr="00C33756">
        <w:t>Oblicz</w:t>
      </w:r>
      <w:r w:rsidR="00C925FF" w:rsidRPr="00C33756">
        <w:t>enia</w:t>
      </w:r>
      <w:r w:rsidRPr="00C33756">
        <w:t xml:space="preserve"> częściow</w:t>
      </w:r>
      <w:r w:rsidR="00C925FF" w:rsidRPr="00C33756">
        <w:t>ych</w:t>
      </w:r>
      <w:r w:rsidRPr="00C33756">
        <w:t xml:space="preserve"> SCQ:</w:t>
      </w:r>
    </w:p>
    <w:p w14:paraId="62019E57" w14:textId="77777777" w:rsidR="0027534E" w:rsidRPr="00C33756" w:rsidRDefault="0027534E" w:rsidP="0027534E">
      <w:pPr>
        <w:numPr>
          <w:ilvl w:val="0"/>
          <w:numId w:val="9"/>
        </w:numPr>
      </w:pPr>
      <w:proofErr w:type="spellStart"/>
      <w:r w:rsidRPr="00C33756">
        <w:t>SCQ_Tech</w:t>
      </w:r>
      <w:proofErr w:type="spellEnd"/>
      <w:r w:rsidRPr="00C33756">
        <w:t xml:space="preserve"> = średnia xi z technologicznych kryteriów</w:t>
      </w:r>
    </w:p>
    <w:p w14:paraId="73245FEC" w14:textId="77777777" w:rsidR="0027534E" w:rsidRPr="00C33756" w:rsidRDefault="0027534E" w:rsidP="0027534E">
      <w:pPr>
        <w:numPr>
          <w:ilvl w:val="0"/>
          <w:numId w:val="9"/>
        </w:numPr>
      </w:pPr>
      <w:proofErr w:type="spellStart"/>
      <w:r w:rsidRPr="00C33756">
        <w:t>SCQ_Impact</w:t>
      </w:r>
      <w:proofErr w:type="spellEnd"/>
      <w:r w:rsidRPr="00C33756">
        <w:t xml:space="preserve"> = średnia xi z kryteriów wdrożeniowych</w:t>
      </w:r>
    </w:p>
    <w:p w14:paraId="5580C54A" w14:textId="77777777" w:rsidR="0027534E" w:rsidRPr="00C33756" w:rsidRDefault="0027534E" w:rsidP="0027534E">
      <w:pPr>
        <w:numPr>
          <w:ilvl w:val="0"/>
          <w:numId w:val="9"/>
        </w:numPr>
      </w:pPr>
      <w:proofErr w:type="spellStart"/>
      <w:r w:rsidRPr="00C33756">
        <w:t>SCQ_Structure</w:t>
      </w:r>
      <w:proofErr w:type="spellEnd"/>
      <w:r w:rsidRPr="00C33756">
        <w:t xml:space="preserve"> = średnia xi z organizacyjnych</w:t>
      </w:r>
    </w:p>
    <w:p w14:paraId="481D78BB" w14:textId="4C40F4EF" w:rsidR="0027534E" w:rsidRPr="00C33756" w:rsidRDefault="007D6CE4" w:rsidP="0027534E">
      <w:r w:rsidRPr="00C33756">
        <w:t>Połączenie częściowych SCQ</w:t>
      </w:r>
      <w:r w:rsidR="00C925FF" w:rsidRPr="00C33756">
        <w:t xml:space="preserve"> w ogólny współczynnik jakości</w:t>
      </w:r>
      <w:r w:rsidR="0027534E" w:rsidRPr="00C33756">
        <w:t xml:space="preserve"> GCQ:</w:t>
      </w:r>
    </w:p>
    <w:p w14:paraId="2C14F465" w14:textId="11777AF5" w:rsidR="00C925FF" w:rsidRPr="00E204BE" w:rsidRDefault="0027534E" w:rsidP="00DB791F">
      <w:pPr>
        <w:jc w:val="center"/>
        <w:rPr>
          <w:lang w:val="en-US"/>
        </w:rPr>
      </w:pPr>
      <w:r w:rsidRPr="00E204BE">
        <w:rPr>
          <w:lang w:val="en-US"/>
        </w:rPr>
        <w:t>GCQ=</w:t>
      </w:r>
      <w:r w:rsidR="00C925FF" w:rsidRPr="00E204BE">
        <w:rPr>
          <w:lang w:val="en-US"/>
        </w:rPr>
        <w:t>(</w:t>
      </w:r>
      <w:proofErr w:type="spellStart"/>
      <w:r w:rsidRPr="00E204BE">
        <w:rPr>
          <w:lang w:val="en-US"/>
        </w:rPr>
        <w:t>SCQ_Tech+SCQ_Impact+SCQ_Structure</w:t>
      </w:r>
      <w:proofErr w:type="spellEnd"/>
      <w:r w:rsidR="00C925FF" w:rsidRPr="00E204BE">
        <w:rPr>
          <w:lang w:val="en-US"/>
        </w:rPr>
        <w:t>)/3</w:t>
      </w:r>
    </w:p>
    <w:p w14:paraId="72CA593F" w14:textId="77777777" w:rsidR="0027534E" w:rsidRPr="0027534E" w:rsidRDefault="00000000" w:rsidP="0027534E">
      <w:pPr>
        <w:rPr>
          <w:b/>
          <w:bCs/>
        </w:rPr>
      </w:pPr>
      <w:r>
        <w:rPr>
          <w:b/>
          <w:bCs/>
        </w:rPr>
        <w:pict w14:anchorId="5A78B093">
          <v:rect id="_x0000_i1029" style="width:0;height:1.5pt" o:hralign="center" o:hrstd="t" o:hr="t" fillcolor="#a0a0a0" stroked="f"/>
        </w:pict>
      </w:r>
    </w:p>
    <w:p w14:paraId="57CEB3E1" w14:textId="24732A50" w:rsidR="0027534E" w:rsidRPr="00B25CC3" w:rsidRDefault="00C925FF" w:rsidP="0027534E">
      <w:r>
        <w:rPr>
          <w:rFonts w:ascii="Segoe UI Emoji" w:hAnsi="Segoe UI Emoji" w:cs="Segoe UI Emoji"/>
          <w:b/>
          <w:bCs/>
        </w:rPr>
        <w:t>6</w:t>
      </w:r>
      <w:r w:rsidR="0027534E" w:rsidRPr="0027534E">
        <w:rPr>
          <w:b/>
          <w:bCs/>
        </w:rPr>
        <w:t xml:space="preserve">. </w:t>
      </w:r>
      <w:r w:rsidR="007D6CE4">
        <w:rPr>
          <w:b/>
          <w:bCs/>
        </w:rPr>
        <w:t>Ustalono k</w:t>
      </w:r>
      <w:r w:rsidR="0027534E" w:rsidRPr="0027534E">
        <w:rPr>
          <w:b/>
          <w:bCs/>
        </w:rPr>
        <w:t xml:space="preserve">lasy jakości </w:t>
      </w:r>
      <w:r w:rsidR="007D6CE4">
        <w:rPr>
          <w:b/>
          <w:bCs/>
        </w:rPr>
        <w:t xml:space="preserve">projektów </w:t>
      </w:r>
      <w:r w:rsidR="0027534E" w:rsidRPr="0027534E">
        <w:rPr>
          <w:b/>
          <w:bCs/>
        </w:rPr>
        <w:t>(C)</w:t>
      </w:r>
      <w:r w:rsidR="007D6CE4">
        <w:rPr>
          <w:b/>
          <w:bCs/>
        </w:rPr>
        <w:t xml:space="preserve">, </w:t>
      </w:r>
      <w:r w:rsidR="007D6CE4" w:rsidRPr="00B25CC3">
        <w:t>co pozwala na przypisanie</w:t>
      </w:r>
      <w:r w:rsidR="00DB791F">
        <w:t xml:space="preserve"> klasy, interpretację</w:t>
      </w:r>
      <w:r w:rsidR="007D6CE4" w:rsidRPr="00B25CC3">
        <w:t xml:space="preserve"> i rankingowanie projektów</w:t>
      </w:r>
      <w:r w:rsidR="00B25CC3" w:rsidRPr="00B25CC3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3260"/>
      </w:tblGrid>
      <w:tr w:rsidR="007D6CE4" w:rsidRPr="007D6CE4" w14:paraId="5FA2136D" w14:textId="77777777" w:rsidTr="007D6CE4">
        <w:trPr>
          <w:trHeight w:val="595"/>
        </w:trPr>
        <w:tc>
          <w:tcPr>
            <w:tcW w:w="960" w:type="dxa"/>
            <w:noWrap/>
            <w:hideMark/>
          </w:tcPr>
          <w:p w14:paraId="3D2DBF39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GCQ</w:t>
            </w:r>
          </w:p>
        </w:tc>
        <w:tc>
          <w:tcPr>
            <w:tcW w:w="960" w:type="dxa"/>
            <w:noWrap/>
            <w:hideMark/>
          </w:tcPr>
          <w:p w14:paraId="1F0DD423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Klasa C</w:t>
            </w:r>
          </w:p>
        </w:tc>
        <w:tc>
          <w:tcPr>
            <w:tcW w:w="3260" w:type="dxa"/>
            <w:noWrap/>
            <w:hideMark/>
          </w:tcPr>
          <w:p w14:paraId="709001C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Opis</w:t>
            </w:r>
          </w:p>
        </w:tc>
      </w:tr>
      <w:tr w:rsidR="007D6CE4" w:rsidRPr="007D6CE4" w14:paraId="6AF3AF11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67D02379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≥ 0.9</w:t>
            </w:r>
          </w:p>
        </w:tc>
        <w:tc>
          <w:tcPr>
            <w:tcW w:w="960" w:type="dxa"/>
            <w:noWrap/>
            <w:hideMark/>
          </w:tcPr>
          <w:p w14:paraId="36EDC1DC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</w:t>
            </w:r>
          </w:p>
        </w:tc>
        <w:tc>
          <w:tcPr>
            <w:tcW w:w="3260" w:type="dxa"/>
            <w:noWrap/>
            <w:hideMark/>
          </w:tcPr>
          <w:p w14:paraId="5A32D3C9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projekt idealny</w:t>
            </w:r>
          </w:p>
        </w:tc>
      </w:tr>
      <w:tr w:rsidR="007D6CE4" w:rsidRPr="007D6CE4" w14:paraId="2FDC871B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21901258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0.8–0.89</w:t>
            </w:r>
          </w:p>
        </w:tc>
        <w:tc>
          <w:tcPr>
            <w:tcW w:w="960" w:type="dxa"/>
            <w:noWrap/>
            <w:hideMark/>
          </w:tcPr>
          <w:p w14:paraId="2F1C747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71ADB3ED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bardzo wysoka jakość</w:t>
            </w:r>
          </w:p>
        </w:tc>
      </w:tr>
      <w:tr w:rsidR="007D6CE4" w:rsidRPr="007D6CE4" w14:paraId="47AB371A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3A37E1F6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0.7–0.79</w:t>
            </w:r>
          </w:p>
        </w:tc>
        <w:tc>
          <w:tcPr>
            <w:tcW w:w="960" w:type="dxa"/>
            <w:noWrap/>
            <w:hideMark/>
          </w:tcPr>
          <w:p w14:paraId="0CE47B54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345BFAA4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wysoka jakość</w:t>
            </w:r>
          </w:p>
        </w:tc>
      </w:tr>
      <w:tr w:rsidR="007D6CE4" w:rsidRPr="007D6CE4" w14:paraId="54C9C018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0E6DABE7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0.6–0.69</w:t>
            </w:r>
          </w:p>
        </w:tc>
        <w:tc>
          <w:tcPr>
            <w:tcW w:w="960" w:type="dxa"/>
            <w:noWrap/>
            <w:hideMark/>
          </w:tcPr>
          <w:p w14:paraId="20686D06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612B4A2E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dobra jakość</w:t>
            </w:r>
          </w:p>
        </w:tc>
      </w:tr>
      <w:tr w:rsidR="007D6CE4" w:rsidRPr="007D6CE4" w14:paraId="6F2B4B28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5ADB3C72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0.5–0.59</w:t>
            </w:r>
          </w:p>
        </w:tc>
        <w:tc>
          <w:tcPr>
            <w:tcW w:w="960" w:type="dxa"/>
            <w:noWrap/>
            <w:hideMark/>
          </w:tcPr>
          <w:p w14:paraId="27AAD88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60426BB8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umiarkowana jakość</w:t>
            </w:r>
          </w:p>
        </w:tc>
      </w:tr>
      <w:tr w:rsidR="007D6CE4" w:rsidRPr="007D6CE4" w14:paraId="4363E7D3" w14:textId="77777777" w:rsidTr="007D6CE4">
        <w:trPr>
          <w:trHeight w:val="300"/>
        </w:trPr>
        <w:tc>
          <w:tcPr>
            <w:tcW w:w="960" w:type="dxa"/>
            <w:noWrap/>
            <w:hideMark/>
          </w:tcPr>
          <w:p w14:paraId="6AEF2B26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&lt; 0.5</w:t>
            </w:r>
          </w:p>
        </w:tc>
        <w:tc>
          <w:tcPr>
            <w:tcW w:w="960" w:type="dxa"/>
            <w:noWrap/>
            <w:hideMark/>
          </w:tcPr>
          <w:p w14:paraId="7457471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5–9</w:t>
            </w:r>
          </w:p>
        </w:tc>
        <w:tc>
          <w:tcPr>
            <w:tcW w:w="3260" w:type="dxa"/>
            <w:noWrap/>
            <w:hideMark/>
          </w:tcPr>
          <w:p w14:paraId="53501C8B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niska jakość, zależnie od wartości</w:t>
            </w:r>
          </w:p>
        </w:tc>
      </w:tr>
    </w:tbl>
    <w:p w14:paraId="7D836E7B" w14:textId="75EF5EC1" w:rsidR="004C70B4" w:rsidRPr="004C70B4" w:rsidRDefault="004C70B4" w:rsidP="004C70B4">
      <w:pPr>
        <w:rPr>
          <w:b/>
          <w:bCs/>
        </w:rPr>
      </w:pPr>
    </w:p>
    <w:p w14:paraId="2299573A" w14:textId="4B2D99B2" w:rsidR="60F3D182" w:rsidRDefault="60F3D182" w:rsidP="7E219001">
      <w:pPr>
        <w:rPr>
          <w:rFonts w:ascii="Aptos" w:eastAsia="Aptos" w:hAnsi="Aptos" w:cs="Arial"/>
          <w:b/>
          <w:bCs/>
        </w:rPr>
      </w:pPr>
      <w:r w:rsidRPr="7E219001">
        <w:rPr>
          <w:rFonts w:ascii="Aptos" w:eastAsia="Aptos" w:hAnsi="Aptos" w:cs="Arial"/>
          <w:b/>
          <w:bCs/>
        </w:rPr>
        <w:t>7. Uzasadnienie dla zastosowania oceny ilościowej jakości projektów</w:t>
      </w:r>
    </w:p>
    <w:p w14:paraId="12746408" w14:textId="66F8B3FD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 xml:space="preserve">Wprowadzenie metody ilościowej do oceny </w:t>
      </w:r>
      <w:r w:rsidRPr="7E219001">
        <w:rPr>
          <w:rFonts w:ascii="Aptos" w:eastAsia="Aptos" w:hAnsi="Aptos" w:cs="Arial"/>
          <w:b/>
          <w:bCs/>
        </w:rPr>
        <w:t xml:space="preserve">jakości </w:t>
      </w:r>
      <w:r w:rsidRPr="7E219001">
        <w:rPr>
          <w:rFonts w:ascii="Aptos" w:eastAsia="Aptos" w:hAnsi="Aptos" w:cs="Arial"/>
        </w:rPr>
        <w:t>projektów B+R niesie ze sobą szereg korzyści: praktycznych i strategicznych. Dzięki przeliczaniu kryteriów na wymierne wskaźniki możliwy jest wybór najbardziej optymalnych projektów. Metoda zapewnia:</w:t>
      </w:r>
    </w:p>
    <w:p w14:paraId="56DFF984" w14:textId="04CC4585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obiektywizację oceny</w:t>
      </w:r>
      <w:r w:rsidRPr="7E219001">
        <w:rPr>
          <w:rFonts w:ascii="Aptos" w:eastAsia="Aptos" w:hAnsi="Aptos" w:cs="Arial"/>
        </w:rPr>
        <w:t xml:space="preserve"> – projekty są oceniane na podstawie jednolitych, mierzalnych parametrów, co ogranicza subiektywność;</w:t>
      </w:r>
    </w:p>
    <w:p w14:paraId="4CB5A709" w14:textId="37DAD42E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porównywalność projektów z różnych dyscyplin</w:t>
      </w:r>
      <w:r w:rsidRPr="7E219001">
        <w:rPr>
          <w:rFonts w:ascii="Aptos" w:eastAsia="Aptos" w:hAnsi="Aptos" w:cs="Arial"/>
        </w:rPr>
        <w:t xml:space="preserve"> – zarówno nauki humanistyczne, jak i techniczne podlegają ocenie w tej samej skali (0–1);</w:t>
      </w:r>
    </w:p>
    <w:p w14:paraId="6994F3DC" w14:textId="5E0524AF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transparentność i powtarzalność procesu</w:t>
      </w:r>
      <w:r w:rsidRPr="7E219001">
        <w:rPr>
          <w:rFonts w:ascii="Aptos" w:eastAsia="Aptos" w:hAnsi="Aptos" w:cs="Arial"/>
        </w:rPr>
        <w:t xml:space="preserve"> – zasady przeliczania wartości na wskaźniki są jasne i mogą być powielane w kolejnych naborach;</w:t>
      </w:r>
    </w:p>
    <w:p w14:paraId="0F82EBEB" w14:textId="6A321457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wielowymiarowość oceny</w:t>
      </w:r>
      <w:r w:rsidRPr="7E219001">
        <w:rPr>
          <w:rFonts w:ascii="Aptos" w:eastAsia="Aptos" w:hAnsi="Aptos" w:cs="Arial"/>
        </w:rPr>
        <w:t xml:space="preserve"> – technologia, potencjał wdrożeniowy i struktura organizacyjna są oceniane równolegle;</w:t>
      </w:r>
    </w:p>
    <w:p w14:paraId="405F7211" w14:textId="72CFCC35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wsparcie w podejmowaniu decyzji strategicznych</w:t>
      </w:r>
      <w:r w:rsidRPr="7E219001">
        <w:rPr>
          <w:rFonts w:ascii="Aptos" w:eastAsia="Aptos" w:hAnsi="Aptos" w:cs="Arial"/>
        </w:rPr>
        <w:t xml:space="preserve"> – ranking projektów ułatwia alokację środków finansowych i wskazuje inicjatywy o największym potencjale;</w:t>
      </w:r>
    </w:p>
    <w:p w14:paraId="695C4DB9" w14:textId="04DA35A4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możliwość kalibracji systemu</w:t>
      </w:r>
      <w:r w:rsidRPr="7E219001">
        <w:rPr>
          <w:rFonts w:ascii="Aptos" w:eastAsia="Aptos" w:hAnsi="Aptos" w:cs="Arial"/>
        </w:rPr>
        <w:t xml:space="preserve"> – w kolejnych edycjach wartości referencyjne mogą być dostosowywane na podstawie doświadczeń, co zwiększa trafność i adekwatność oceny.</w:t>
      </w:r>
    </w:p>
    <w:p w14:paraId="15A30234" w14:textId="4669FB4B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>Stosując ocenę ilościową jakości projektów badawczych można uniknąć szeregu typowych problemów/pułapek związanych z tradycyjną oceną ekspercką takich jak:</w:t>
      </w:r>
    </w:p>
    <w:p w14:paraId="4EAB9057" w14:textId="02275101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 xml:space="preserve"> </w:t>
      </w:r>
    </w:p>
    <w:p w14:paraId="770D2EB1" w14:textId="0C9F11E3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subiektywność oceny</w:t>
      </w:r>
      <w:r w:rsidRPr="7E219001">
        <w:rPr>
          <w:rFonts w:ascii="Aptos" w:eastAsia="Aptos" w:hAnsi="Aptos" w:cs="Arial"/>
        </w:rPr>
        <w:t xml:space="preserve"> – dzięki przeliczeniu kryteriów na wartości liczbowe ogranicza się wpływ indywidualnych preferencji ekspertów;</w:t>
      </w:r>
    </w:p>
    <w:p w14:paraId="5D0D80E1" w14:textId="28675F53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brak porównywalności między dyscyplinami</w:t>
      </w:r>
      <w:r w:rsidRPr="7E219001">
        <w:rPr>
          <w:rFonts w:ascii="Aptos" w:eastAsia="Aptos" w:hAnsi="Aptos" w:cs="Arial"/>
        </w:rPr>
        <w:t xml:space="preserve"> – normalizacja do skali 0–1 umożliwia zestawianie projektów z różnych obszarów (od nauk humanistycznych po inżynieryjne);</w:t>
      </w:r>
    </w:p>
    <w:p w14:paraId="168A3982" w14:textId="3C19C354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faworyzowanie kryteriów „miękkich”</w:t>
      </w:r>
      <w:r w:rsidRPr="7E219001">
        <w:rPr>
          <w:rFonts w:ascii="Aptos" w:eastAsia="Aptos" w:hAnsi="Aptos" w:cs="Arial"/>
        </w:rPr>
        <w:t xml:space="preserve"> – wprowadzenie SCQ i GCQ równoważy znaczenie aspektów technologicznych, wdrożeniowych i organizacyjnych;</w:t>
      </w:r>
    </w:p>
    <w:p w14:paraId="33C4FF01" w14:textId="5A8B68F0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brak przejrzystości</w:t>
      </w:r>
      <w:r w:rsidRPr="7E219001">
        <w:rPr>
          <w:rFonts w:ascii="Aptos" w:eastAsia="Aptos" w:hAnsi="Aptos" w:cs="Arial"/>
        </w:rPr>
        <w:t xml:space="preserve"> – dzięki liczbowym wskaźnikom łatwo wskazać wnioskodawcom, które obszary projektu wymagają poprawy;</w:t>
      </w:r>
    </w:p>
    <w:p w14:paraId="3CC68607" w14:textId="58F0F480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trudności w tworzeniu rankingu, preselekcji wniosków do dalszego etapu oceny</w:t>
      </w:r>
      <w:r w:rsidRPr="7E219001">
        <w:rPr>
          <w:rFonts w:ascii="Aptos" w:eastAsia="Aptos" w:hAnsi="Aptos" w:cs="Arial"/>
        </w:rPr>
        <w:t xml:space="preserve"> – GCQ umożliwia jednoznaczne uporządkowanie projektów od najlepszych do najsłabszych;</w:t>
      </w:r>
    </w:p>
    <w:p w14:paraId="22EA31B4" w14:textId="58350F8E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niespójność oceny między ekspertami</w:t>
      </w:r>
      <w:r w:rsidRPr="7E219001">
        <w:rPr>
          <w:rFonts w:ascii="Aptos" w:eastAsia="Aptos" w:hAnsi="Aptos" w:cs="Arial"/>
        </w:rPr>
        <w:t xml:space="preserve"> – jasno określone progi (kmin, </w:t>
      </w:r>
      <w:proofErr w:type="spellStart"/>
      <w:r w:rsidRPr="7E219001">
        <w:rPr>
          <w:rFonts w:ascii="Aptos" w:eastAsia="Aptos" w:hAnsi="Aptos" w:cs="Arial"/>
        </w:rPr>
        <w:t>kopt</w:t>
      </w:r>
      <w:proofErr w:type="spellEnd"/>
      <w:r w:rsidRPr="7E219001">
        <w:rPr>
          <w:rFonts w:ascii="Aptos" w:eastAsia="Aptos" w:hAnsi="Aptos" w:cs="Arial"/>
        </w:rPr>
        <w:t xml:space="preserve">, </w:t>
      </w:r>
      <w:proofErr w:type="spellStart"/>
      <w:r w:rsidRPr="7E219001">
        <w:rPr>
          <w:rFonts w:ascii="Aptos" w:eastAsia="Aptos" w:hAnsi="Aptos" w:cs="Arial"/>
        </w:rPr>
        <w:t>kmax</w:t>
      </w:r>
      <w:proofErr w:type="spellEnd"/>
      <w:r w:rsidRPr="7E219001">
        <w:rPr>
          <w:rFonts w:ascii="Aptos" w:eastAsia="Aptos" w:hAnsi="Aptos" w:cs="Arial"/>
        </w:rPr>
        <w:t>) minimalizują rozbieżności interpretacyjne;</w:t>
      </w:r>
    </w:p>
    <w:p w14:paraId="6F8EEA8A" w14:textId="75C8F8A8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pomijanie wielowymiarowości projektów</w:t>
      </w:r>
      <w:r w:rsidRPr="7E219001">
        <w:rPr>
          <w:rFonts w:ascii="Aptos" w:eastAsia="Aptos" w:hAnsi="Aptos" w:cs="Arial"/>
        </w:rPr>
        <w:t xml:space="preserve"> – podział na parametry technologiczne (</w:t>
      </w:r>
      <w:proofErr w:type="spellStart"/>
      <w:r w:rsidRPr="7E219001">
        <w:rPr>
          <w:rFonts w:ascii="Aptos" w:eastAsia="Aptos" w:hAnsi="Aptos" w:cs="Arial"/>
        </w:rPr>
        <w:t>SCQ_Tech</w:t>
      </w:r>
      <w:proofErr w:type="spellEnd"/>
      <w:r w:rsidRPr="7E219001">
        <w:rPr>
          <w:rFonts w:ascii="Aptos" w:eastAsia="Aptos" w:hAnsi="Aptos" w:cs="Arial"/>
        </w:rPr>
        <w:t>), potencjał wdrożeniowy (</w:t>
      </w:r>
      <w:proofErr w:type="spellStart"/>
      <w:r w:rsidRPr="7E219001">
        <w:rPr>
          <w:rFonts w:ascii="Aptos" w:eastAsia="Aptos" w:hAnsi="Aptos" w:cs="Arial"/>
        </w:rPr>
        <w:t>SCQ_Impact</w:t>
      </w:r>
      <w:proofErr w:type="spellEnd"/>
      <w:r w:rsidRPr="7E219001">
        <w:rPr>
          <w:rFonts w:ascii="Aptos" w:eastAsia="Aptos" w:hAnsi="Aptos" w:cs="Arial"/>
        </w:rPr>
        <w:t>) i organizacyjny (</w:t>
      </w:r>
      <w:proofErr w:type="spellStart"/>
      <w:r w:rsidRPr="7E219001">
        <w:rPr>
          <w:rFonts w:ascii="Aptos" w:eastAsia="Aptos" w:hAnsi="Aptos" w:cs="Arial"/>
        </w:rPr>
        <w:t>SCQ_Structure</w:t>
      </w:r>
      <w:proofErr w:type="spellEnd"/>
      <w:r w:rsidRPr="7E219001">
        <w:rPr>
          <w:rFonts w:ascii="Aptos" w:eastAsia="Aptos" w:hAnsi="Aptos" w:cs="Arial"/>
        </w:rPr>
        <w:t>) zapewnia kompleksowe spojrzenie na potencjał projektu.</w:t>
      </w:r>
    </w:p>
    <w:p w14:paraId="1BFFCE2E" w14:textId="3E7EA4AF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>Dzięki zaadaptowaniu techniki inżynierskiej do oceny jakości projektów badawczych, rozwiązań, technologii zbudowano kompletną, innowacyjną strukturę systemu oceny ilościowej jakości projektów, która zostanie wykorzystana w procesie oceny wniosków na prace B+R w zadaniu nr 1 „Inkubator Rozwoju” w ramach projektu Science4Business – Nauka dla Biznesu. Proces oceny wniosków na prace B+R będzie bardziej rzetelny, obiektywny, transparentny i powtarzalny, co zwiększa wiarygodność decyzji o wyborze projektów do finansowania.</w:t>
      </w:r>
    </w:p>
    <w:p w14:paraId="08361E87" w14:textId="3F1F50E7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 xml:space="preserve">Podkreślić należy, że ocena ilościowa jakości projektów </w:t>
      </w:r>
      <w:r w:rsidRPr="7E219001">
        <w:rPr>
          <w:rFonts w:ascii="Aptos" w:eastAsia="Aptos" w:hAnsi="Aptos" w:cs="Arial"/>
          <w:b/>
          <w:bCs/>
        </w:rPr>
        <w:t>nie zastępuje</w:t>
      </w:r>
      <w:r w:rsidRPr="7E219001">
        <w:rPr>
          <w:rFonts w:ascii="Aptos" w:eastAsia="Aptos" w:hAnsi="Aptos" w:cs="Arial"/>
        </w:rPr>
        <w:t xml:space="preserve"> oceny eksperckiej (brokerskiej, członków Komitetu Inwestycyjnego), lecz stanowi jej uzupełnienie, wzmacniając rzetelność, przejrzystość i sprawiedliwość całego procesu wyboru projektów badawczych do finansowania.</w:t>
      </w:r>
    </w:p>
    <w:p w14:paraId="6686C7B4" w14:textId="66B96F35" w:rsidR="7E219001" w:rsidRDefault="7E219001" w:rsidP="7E219001">
      <w:pPr>
        <w:rPr>
          <w:rFonts w:ascii="Aptos" w:eastAsia="Aptos" w:hAnsi="Aptos" w:cs="Arial"/>
        </w:rPr>
      </w:pPr>
    </w:p>
    <w:p w14:paraId="53ED2355" w14:textId="7D1C4395" w:rsidR="7E219001" w:rsidRDefault="7E219001"/>
    <w:p w14:paraId="3D524FB1" w14:textId="3049863C" w:rsidR="004C70B4" w:rsidRDefault="004C70B4"/>
    <w:sectPr w:rsidR="004C70B4" w:rsidSect="00DD718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9264" w14:textId="77777777" w:rsidR="00A55937" w:rsidRDefault="00A55937" w:rsidP="00C002FF">
      <w:pPr>
        <w:spacing w:after="0" w:line="240" w:lineRule="auto"/>
      </w:pPr>
      <w:r>
        <w:separator/>
      </w:r>
    </w:p>
  </w:endnote>
  <w:endnote w:type="continuationSeparator" w:id="0">
    <w:p w14:paraId="6D1F600B" w14:textId="77777777" w:rsidR="00A55937" w:rsidRDefault="00A55937" w:rsidP="00C0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8584" w14:textId="77777777" w:rsidR="00A55937" w:rsidRDefault="00A55937" w:rsidP="00C002FF">
      <w:pPr>
        <w:spacing w:after="0" w:line="240" w:lineRule="auto"/>
      </w:pPr>
      <w:r>
        <w:separator/>
      </w:r>
    </w:p>
  </w:footnote>
  <w:footnote w:type="continuationSeparator" w:id="0">
    <w:p w14:paraId="48FEBCAF" w14:textId="77777777" w:rsidR="00A55937" w:rsidRDefault="00A55937" w:rsidP="00C0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17B9" w14:textId="27DD11E5" w:rsidR="0042004C" w:rsidRDefault="0042004C">
    <w:pPr>
      <w:pStyle w:val="Nagwek"/>
    </w:pPr>
    <w:r>
      <w:drawing>
        <wp:inline distT="0" distB="0" distL="0" distR="0" wp14:anchorId="6704455F" wp14:editId="30A1FBE9">
          <wp:extent cx="5760720" cy="771270"/>
          <wp:effectExtent l="0" t="0" r="0" b="0"/>
          <wp:docPr id="1224481241" name="drawing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drawing" descr="Obraz zawierający zrzut ekranu, Wielobarwność, Prostokąt, kwadra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ABC"/>
    <w:multiLevelType w:val="hybridMultilevel"/>
    <w:tmpl w:val="FB92C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47D5"/>
    <w:multiLevelType w:val="hybridMultilevel"/>
    <w:tmpl w:val="8A6267E8"/>
    <w:lvl w:ilvl="0" w:tplc="90664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EC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E3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C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C0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E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25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E5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E5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127"/>
    <w:multiLevelType w:val="hybridMultilevel"/>
    <w:tmpl w:val="9FAC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329A7"/>
    <w:multiLevelType w:val="multilevel"/>
    <w:tmpl w:val="3D4C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A49D3"/>
    <w:multiLevelType w:val="multilevel"/>
    <w:tmpl w:val="C33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C1F6F"/>
    <w:multiLevelType w:val="multilevel"/>
    <w:tmpl w:val="1C9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E084C"/>
    <w:multiLevelType w:val="hybridMultilevel"/>
    <w:tmpl w:val="830286CE"/>
    <w:lvl w:ilvl="0" w:tplc="1EFE6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A6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8E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0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6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01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20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A5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AE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57B91"/>
    <w:multiLevelType w:val="multilevel"/>
    <w:tmpl w:val="61E4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36DD9"/>
    <w:multiLevelType w:val="multilevel"/>
    <w:tmpl w:val="D57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1725D"/>
    <w:multiLevelType w:val="multilevel"/>
    <w:tmpl w:val="667C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87933">
    <w:abstractNumId w:val="6"/>
  </w:num>
  <w:num w:numId="2" w16cid:durableId="2024504562">
    <w:abstractNumId w:val="1"/>
  </w:num>
  <w:num w:numId="3" w16cid:durableId="1948076185">
    <w:abstractNumId w:val="7"/>
  </w:num>
  <w:num w:numId="4" w16cid:durableId="1529105335">
    <w:abstractNumId w:val="4"/>
  </w:num>
  <w:num w:numId="5" w16cid:durableId="1057316578">
    <w:abstractNumId w:val="9"/>
  </w:num>
  <w:num w:numId="6" w16cid:durableId="310326386">
    <w:abstractNumId w:val="5"/>
  </w:num>
  <w:num w:numId="7" w16cid:durableId="1963997559">
    <w:abstractNumId w:val="2"/>
  </w:num>
  <w:num w:numId="8" w16cid:durableId="1631128119">
    <w:abstractNumId w:val="0"/>
  </w:num>
  <w:num w:numId="9" w16cid:durableId="1986157975">
    <w:abstractNumId w:val="3"/>
  </w:num>
  <w:num w:numId="10" w16cid:durableId="623853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B4"/>
    <w:rsid w:val="0027534E"/>
    <w:rsid w:val="002A6585"/>
    <w:rsid w:val="0042004C"/>
    <w:rsid w:val="004823F0"/>
    <w:rsid w:val="004C70B4"/>
    <w:rsid w:val="00564855"/>
    <w:rsid w:val="005D38E1"/>
    <w:rsid w:val="006D6F94"/>
    <w:rsid w:val="00771FFD"/>
    <w:rsid w:val="007D6CE4"/>
    <w:rsid w:val="00915CDE"/>
    <w:rsid w:val="00995669"/>
    <w:rsid w:val="00A55937"/>
    <w:rsid w:val="00B25CC3"/>
    <w:rsid w:val="00C002FF"/>
    <w:rsid w:val="00C02FAD"/>
    <w:rsid w:val="00C05B0B"/>
    <w:rsid w:val="00C33756"/>
    <w:rsid w:val="00C925FF"/>
    <w:rsid w:val="00CF5175"/>
    <w:rsid w:val="00D41B6A"/>
    <w:rsid w:val="00DB791F"/>
    <w:rsid w:val="00DD718F"/>
    <w:rsid w:val="00E204BE"/>
    <w:rsid w:val="00F4651D"/>
    <w:rsid w:val="00FD7703"/>
    <w:rsid w:val="083C8C2F"/>
    <w:rsid w:val="0BA7A16A"/>
    <w:rsid w:val="2BFDA1A4"/>
    <w:rsid w:val="365063B3"/>
    <w:rsid w:val="4703526C"/>
    <w:rsid w:val="5DF05C5D"/>
    <w:rsid w:val="5F567A57"/>
    <w:rsid w:val="60F3D182"/>
    <w:rsid w:val="7401A041"/>
    <w:rsid w:val="74C828F3"/>
    <w:rsid w:val="7E219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97F7"/>
  <w15:chartTrackingRefBased/>
  <w15:docId w15:val="{C08B5FDD-B626-4BFA-8C3F-91A5A62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0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0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0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0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0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0B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0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02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2FF"/>
    <w:rPr>
      <w:vertAlign w:val="superscript"/>
    </w:rPr>
  </w:style>
  <w:style w:type="table" w:styleId="Tabela-Siatka">
    <w:name w:val="Table Grid"/>
    <w:basedOn w:val="Standardowy"/>
    <w:uiPriority w:val="39"/>
    <w:rsid w:val="007D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25CC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42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04C"/>
  </w:style>
  <w:style w:type="paragraph" w:styleId="Stopka">
    <w:name w:val="footer"/>
    <w:basedOn w:val="Normalny"/>
    <w:link w:val="StopkaZnak"/>
    <w:uiPriority w:val="99"/>
    <w:unhideWhenUsed/>
    <w:rsid w:val="0042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1179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Wangin</dc:creator>
  <cp:keywords/>
  <dc:description/>
  <cp:lastModifiedBy>Marcin Struszczyk</cp:lastModifiedBy>
  <cp:revision>4</cp:revision>
  <dcterms:created xsi:type="dcterms:W3CDTF">2025-09-25T16:01:00Z</dcterms:created>
  <dcterms:modified xsi:type="dcterms:W3CDTF">2025-09-25T16:03:00Z</dcterms:modified>
</cp:coreProperties>
</file>